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DF" w:rsidRDefault="003044DF" w:rsidP="003044DF">
      <w:pPr>
        <w:pStyle w:val="Title"/>
      </w:pPr>
      <w:r>
        <w:t>Common Rule Anxiety</w:t>
      </w:r>
    </w:p>
    <w:p w:rsidR="003044DF" w:rsidRDefault="003044DF" w:rsidP="003044DF">
      <w:pPr>
        <w:pStyle w:val="Heading1"/>
      </w:pPr>
      <w:r>
        <w:t>Questions</w:t>
      </w:r>
    </w:p>
    <w:p w:rsidR="003044DF" w:rsidRDefault="003044DF" w:rsidP="000617C8">
      <w:pPr>
        <w:pStyle w:val="Heading2"/>
      </w:pPr>
      <w:r>
        <w:t>What were the changes to the Common Rule?</w:t>
      </w:r>
    </w:p>
    <w:p w:rsidR="003044DF" w:rsidRDefault="003044DF" w:rsidP="000617C8">
      <w:pPr>
        <w:pStyle w:val="ListParagraph"/>
        <w:numPr>
          <w:ilvl w:val="0"/>
          <w:numId w:val="2"/>
        </w:numPr>
      </w:pPr>
      <w:r>
        <w:t>Here is a summary of the changes:</w:t>
      </w:r>
    </w:p>
    <w:p w:rsidR="00000000" w:rsidRDefault="003044DF" w:rsidP="000617C8">
      <w:pPr>
        <w:pStyle w:val="ListParagraph"/>
        <w:numPr>
          <w:ilvl w:val="1"/>
          <w:numId w:val="2"/>
        </w:numPr>
      </w:pPr>
      <w:r>
        <w:t>There are ne</w:t>
      </w:r>
      <w:r w:rsidR="00482B07" w:rsidRPr="003044DF">
        <w:t>w requirements regarding information that must be given to prospective research subjects as part of the informed consent process</w:t>
      </w:r>
      <w:r>
        <w:t>.</w:t>
      </w:r>
    </w:p>
    <w:p w:rsidR="003044DF" w:rsidRDefault="003044DF" w:rsidP="000617C8">
      <w:pPr>
        <w:pStyle w:val="ListParagraph"/>
        <w:numPr>
          <w:ilvl w:val="2"/>
          <w:numId w:val="2"/>
        </w:numPr>
      </w:pPr>
      <w:r>
        <w:t>Informed consent must begin with a concise and focused presentation of the key information needed to assist in the understanding of why one might or might not want to participate in the research.</w:t>
      </w:r>
      <w:r w:rsidR="000617C8">
        <w:t xml:space="preserve">  </w:t>
      </w:r>
    </w:p>
    <w:p w:rsidR="00000000" w:rsidRDefault="00482B07" w:rsidP="000D050A">
      <w:pPr>
        <w:pStyle w:val="ListParagraph"/>
        <w:numPr>
          <w:ilvl w:val="1"/>
          <w:numId w:val="2"/>
        </w:numPr>
      </w:pPr>
      <w:r w:rsidRPr="003044DF">
        <w:t>Allows use of broad consent</w:t>
      </w:r>
      <w:r w:rsidR="003044DF">
        <w:t>.</w:t>
      </w:r>
    </w:p>
    <w:p w:rsidR="00303E11" w:rsidRDefault="00303E11" w:rsidP="00303E11">
      <w:pPr>
        <w:pStyle w:val="ListParagraph"/>
        <w:numPr>
          <w:ilvl w:val="2"/>
          <w:numId w:val="2"/>
        </w:numPr>
      </w:pPr>
      <w:r>
        <w:t>Broad consent may be sought under specific conditions as an alternative to traditional informed consent.</w:t>
      </w:r>
    </w:p>
    <w:p w:rsidR="00850BF1" w:rsidRDefault="00850BF1" w:rsidP="00850BF1">
      <w:pPr>
        <w:pStyle w:val="ListParagraph"/>
        <w:numPr>
          <w:ilvl w:val="3"/>
          <w:numId w:val="2"/>
        </w:numPr>
      </w:pPr>
      <w:r>
        <w:t>Broad consent is required for exemptions 7 and 8.</w:t>
      </w:r>
    </w:p>
    <w:p w:rsidR="00303E11" w:rsidRPr="003044DF" w:rsidRDefault="00303E11" w:rsidP="00303E11">
      <w:pPr>
        <w:pStyle w:val="ListParagraph"/>
        <w:numPr>
          <w:ilvl w:val="3"/>
          <w:numId w:val="2"/>
        </w:numPr>
      </w:pPr>
      <w:r>
        <w:t xml:space="preserve">WTAMU </w:t>
      </w:r>
      <w:r w:rsidR="00850BF1">
        <w:t xml:space="preserve">has adopted the provisions of broad consent and </w:t>
      </w:r>
      <w:r>
        <w:t>will allow use of broad consent when applicable.</w:t>
      </w:r>
    </w:p>
    <w:p w:rsidR="00303E11" w:rsidRDefault="00482B07" w:rsidP="000D050A">
      <w:pPr>
        <w:pStyle w:val="ListParagraph"/>
        <w:numPr>
          <w:ilvl w:val="1"/>
          <w:numId w:val="2"/>
        </w:numPr>
      </w:pPr>
      <w:r w:rsidRPr="003044DF">
        <w:t>Establishes new exempt categories</w:t>
      </w:r>
      <w:r w:rsidR="003044DF">
        <w:t>.</w:t>
      </w:r>
      <w:r w:rsidR="000D050A">
        <w:t xml:space="preserve">  Please take the time to review the new exempt categories as there were major changes to this section (45 CFR 46.104)</w:t>
      </w:r>
      <w:r w:rsidR="00303E11">
        <w:t>.</w:t>
      </w:r>
    </w:p>
    <w:p w:rsidR="00303E11" w:rsidRDefault="00303E11" w:rsidP="00303E11">
      <w:pPr>
        <w:pStyle w:val="ListParagraph"/>
        <w:numPr>
          <w:ilvl w:val="2"/>
          <w:numId w:val="2"/>
        </w:numPr>
      </w:pPr>
      <w:r>
        <w:t>There are now eight exempt categories instead of the previous six.</w:t>
      </w:r>
    </w:p>
    <w:p w:rsidR="00000000" w:rsidRDefault="00303E11" w:rsidP="00303E11">
      <w:pPr>
        <w:pStyle w:val="ListParagraph"/>
        <w:numPr>
          <w:ilvl w:val="3"/>
          <w:numId w:val="2"/>
        </w:numPr>
      </w:pPr>
      <w:r>
        <w:t>Combined some categories, clarified some concepts, and added three new exempt categories</w:t>
      </w:r>
      <w:r w:rsidR="00357FEF">
        <w:t xml:space="preserve"> (3, 7, and 8)</w:t>
      </w:r>
      <w:r>
        <w:t>.</w:t>
      </w:r>
      <w:r w:rsidR="000D050A">
        <w:t xml:space="preserve"> </w:t>
      </w:r>
    </w:p>
    <w:p w:rsidR="00357FEF" w:rsidRDefault="00357FEF" w:rsidP="00357FEF">
      <w:pPr>
        <w:pStyle w:val="ListParagraph"/>
        <w:numPr>
          <w:ilvl w:val="4"/>
          <w:numId w:val="2"/>
        </w:numPr>
      </w:pPr>
      <w:r>
        <w:t>Category 3 is for research involving benign behavioral interventions.</w:t>
      </w:r>
    </w:p>
    <w:p w:rsidR="00357FEF" w:rsidRDefault="00357FEF" w:rsidP="00357FEF">
      <w:pPr>
        <w:pStyle w:val="ListParagraph"/>
        <w:numPr>
          <w:ilvl w:val="4"/>
          <w:numId w:val="2"/>
        </w:numPr>
      </w:pPr>
      <w:r>
        <w:t>Category 7 is for storage or maintenance for secondary research requiring broad consent.</w:t>
      </w:r>
    </w:p>
    <w:p w:rsidR="00357FEF" w:rsidRPr="003044DF" w:rsidRDefault="00357FEF" w:rsidP="00357FEF">
      <w:pPr>
        <w:pStyle w:val="ListParagraph"/>
        <w:numPr>
          <w:ilvl w:val="4"/>
          <w:numId w:val="2"/>
        </w:numPr>
      </w:pPr>
      <w:r>
        <w:t>Category 8 is for secondary research requiring broad consent.</w:t>
      </w:r>
    </w:p>
    <w:p w:rsidR="00000000" w:rsidRDefault="00482B07" w:rsidP="00303E11">
      <w:pPr>
        <w:pStyle w:val="ListParagraph"/>
        <w:numPr>
          <w:ilvl w:val="1"/>
          <w:numId w:val="2"/>
        </w:numPr>
      </w:pPr>
      <w:r w:rsidRPr="00A4660E">
        <w:t xml:space="preserve">Creates </w:t>
      </w:r>
      <w:r w:rsidRPr="003044DF">
        <w:t>single IRB requirements</w:t>
      </w:r>
      <w:r w:rsidR="003044DF">
        <w:t>.</w:t>
      </w:r>
    </w:p>
    <w:p w:rsidR="00DC4501" w:rsidRPr="00A4660E" w:rsidRDefault="00DC4501" w:rsidP="00DC4501">
      <w:pPr>
        <w:pStyle w:val="ListParagraph"/>
        <w:numPr>
          <w:ilvl w:val="2"/>
          <w:numId w:val="2"/>
        </w:numPr>
      </w:pPr>
      <w:r w:rsidRPr="00A4660E">
        <w:t>US-based institutions engaged in cooperative research must use a single IRB for that potion of the research that takes place within the US.</w:t>
      </w:r>
    </w:p>
    <w:p w:rsidR="00DC4501" w:rsidRPr="003044DF" w:rsidRDefault="00DC4501" w:rsidP="00DC4501">
      <w:pPr>
        <w:pStyle w:val="ListParagraph"/>
        <w:numPr>
          <w:ilvl w:val="3"/>
          <w:numId w:val="2"/>
        </w:numPr>
      </w:pPr>
      <w:r w:rsidRPr="00A4660E">
        <w:t xml:space="preserve">Established agreements and gives those agreements authority under the rule </w:t>
      </w:r>
      <w:r w:rsidR="00A4660E" w:rsidRPr="00A4660E">
        <w:t>(.103(e)).</w:t>
      </w:r>
    </w:p>
    <w:p w:rsidR="000A379E" w:rsidRDefault="000A379E" w:rsidP="000A379E">
      <w:pPr>
        <w:pStyle w:val="ListParagraph"/>
        <w:numPr>
          <w:ilvl w:val="1"/>
          <w:numId w:val="2"/>
        </w:numPr>
      </w:pPr>
      <w:r>
        <w:t xml:space="preserve">Added Limited </w:t>
      </w:r>
      <w:r>
        <w:t xml:space="preserve">IRB </w:t>
      </w:r>
      <w:r>
        <w:t xml:space="preserve">Review. </w:t>
      </w:r>
    </w:p>
    <w:p w:rsidR="000A379E" w:rsidRDefault="000A379E" w:rsidP="000A379E">
      <w:pPr>
        <w:pStyle w:val="ListParagraph"/>
        <w:numPr>
          <w:ilvl w:val="2"/>
          <w:numId w:val="2"/>
        </w:numPr>
      </w:pPr>
      <w:r>
        <w:t>Put in place to ensure adequate protections for identifiable private information and identifiable biospecimens.</w:t>
      </w:r>
    </w:p>
    <w:p w:rsidR="000A379E" w:rsidRDefault="000A379E" w:rsidP="000A379E">
      <w:pPr>
        <w:pStyle w:val="ListParagraph"/>
        <w:numPr>
          <w:ilvl w:val="2"/>
          <w:numId w:val="2"/>
        </w:numPr>
      </w:pPr>
      <w:r>
        <w:t>No contin</w:t>
      </w:r>
      <w:r w:rsidR="004C1433">
        <w:t xml:space="preserve">uing </w:t>
      </w:r>
      <w:r>
        <w:t>review is required for protocols under Limited IRB Review.</w:t>
      </w:r>
    </w:p>
    <w:p w:rsidR="004C1433" w:rsidRPr="003044DF" w:rsidRDefault="004C1433" w:rsidP="004C1433">
      <w:pPr>
        <w:pStyle w:val="ListParagraph"/>
        <w:numPr>
          <w:ilvl w:val="3"/>
          <w:numId w:val="2"/>
        </w:numPr>
      </w:pPr>
      <w:r>
        <w:t>WTAMU will still require annual updates of research activities.</w:t>
      </w:r>
    </w:p>
    <w:p w:rsidR="00000000" w:rsidRDefault="00482B07" w:rsidP="00303E11">
      <w:pPr>
        <w:pStyle w:val="ListParagraph"/>
        <w:numPr>
          <w:ilvl w:val="1"/>
          <w:numId w:val="2"/>
        </w:numPr>
      </w:pPr>
      <w:r w:rsidRPr="003044DF">
        <w:t>Removes continuing review for certain research activities</w:t>
      </w:r>
      <w:r w:rsidR="003044DF">
        <w:t>.</w:t>
      </w:r>
    </w:p>
    <w:p w:rsidR="004C1433" w:rsidRDefault="004C1433" w:rsidP="004C1433">
      <w:pPr>
        <w:pStyle w:val="ListParagraph"/>
        <w:numPr>
          <w:ilvl w:val="2"/>
          <w:numId w:val="2"/>
        </w:numPr>
      </w:pPr>
      <w:r>
        <w:t>WTAMU will still require annual updates of research activities.</w:t>
      </w:r>
    </w:p>
    <w:p w:rsidR="003044DF" w:rsidRDefault="00482B07" w:rsidP="00303E11">
      <w:pPr>
        <w:pStyle w:val="ListParagraph"/>
        <w:numPr>
          <w:ilvl w:val="1"/>
          <w:numId w:val="2"/>
        </w:numPr>
      </w:pPr>
      <w:r w:rsidRPr="003044DF">
        <w:t>Clarifies some concepts</w:t>
      </w:r>
      <w:r w:rsidR="003044DF">
        <w:t>.</w:t>
      </w:r>
      <w:r w:rsidR="003044DF">
        <w:tab/>
      </w:r>
    </w:p>
    <w:p w:rsidR="004C1433" w:rsidRDefault="004C1433" w:rsidP="004C1433">
      <w:pPr>
        <w:pStyle w:val="ListParagraph"/>
        <w:numPr>
          <w:ilvl w:val="2"/>
          <w:numId w:val="2"/>
        </w:numPr>
      </w:pPr>
      <w:r>
        <w:t>Three new definitions</w:t>
      </w:r>
    </w:p>
    <w:p w:rsidR="004C1433" w:rsidRDefault="004C1433" w:rsidP="004C1433">
      <w:pPr>
        <w:pStyle w:val="ListParagraph"/>
        <w:numPr>
          <w:ilvl w:val="3"/>
          <w:numId w:val="2"/>
        </w:numPr>
      </w:pPr>
      <w:r>
        <w:t>Clinical Trial</w:t>
      </w:r>
    </w:p>
    <w:p w:rsidR="004C1433" w:rsidRDefault="004C1433" w:rsidP="004C1433">
      <w:pPr>
        <w:pStyle w:val="ListParagraph"/>
        <w:numPr>
          <w:ilvl w:val="3"/>
          <w:numId w:val="2"/>
        </w:numPr>
      </w:pPr>
      <w:r>
        <w:t>Public Health Authority</w:t>
      </w:r>
    </w:p>
    <w:p w:rsidR="004C1433" w:rsidRDefault="004C1433" w:rsidP="004C1433">
      <w:pPr>
        <w:pStyle w:val="ListParagraph"/>
        <w:numPr>
          <w:ilvl w:val="3"/>
          <w:numId w:val="2"/>
        </w:numPr>
      </w:pPr>
      <w:r>
        <w:lastRenderedPageBreak/>
        <w:t>Written, In Writing</w:t>
      </w:r>
    </w:p>
    <w:p w:rsidR="004C1433" w:rsidRDefault="004C1433" w:rsidP="004C1433">
      <w:pPr>
        <w:pStyle w:val="ListParagraph"/>
        <w:numPr>
          <w:ilvl w:val="2"/>
          <w:numId w:val="2"/>
        </w:numPr>
      </w:pPr>
      <w:r>
        <w:t>Four revised definitions</w:t>
      </w:r>
    </w:p>
    <w:p w:rsidR="004C1433" w:rsidRDefault="004C1433" w:rsidP="004C1433">
      <w:pPr>
        <w:pStyle w:val="ListParagraph"/>
        <w:numPr>
          <w:ilvl w:val="3"/>
          <w:numId w:val="2"/>
        </w:numPr>
      </w:pPr>
      <w:r>
        <w:t>Human Subjects</w:t>
      </w:r>
    </w:p>
    <w:p w:rsidR="004C1433" w:rsidRDefault="004C1433" w:rsidP="004C1433">
      <w:pPr>
        <w:pStyle w:val="ListParagraph"/>
        <w:numPr>
          <w:ilvl w:val="3"/>
          <w:numId w:val="2"/>
        </w:numPr>
      </w:pPr>
      <w:r>
        <w:t>Identifiability</w:t>
      </w:r>
    </w:p>
    <w:p w:rsidR="004C1433" w:rsidRDefault="004C1433" w:rsidP="004C1433">
      <w:pPr>
        <w:pStyle w:val="ListParagraph"/>
        <w:numPr>
          <w:ilvl w:val="3"/>
          <w:numId w:val="2"/>
        </w:numPr>
      </w:pPr>
      <w:r>
        <w:t>Legally Authorized Representative</w:t>
      </w:r>
    </w:p>
    <w:p w:rsidR="004C1433" w:rsidRDefault="004C1433" w:rsidP="004C1433">
      <w:pPr>
        <w:pStyle w:val="ListParagraph"/>
        <w:numPr>
          <w:ilvl w:val="3"/>
          <w:numId w:val="2"/>
        </w:numPr>
      </w:pPr>
      <w:r>
        <w:t>Research</w:t>
      </w:r>
    </w:p>
    <w:p w:rsidR="004C1433" w:rsidRDefault="004C1433" w:rsidP="004C1433">
      <w:pPr>
        <w:pStyle w:val="ListParagraph"/>
        <w:numPr>
          <w:ilvl w:val="2"/>
          <w:numId w:val="2"/>
        </w:numPr>
      </w:pPr>
      <w:r>
        <w:t>Provided guidance on activities deemed “not research”.  Please take time to review these activities in your determinations of IRB applicability.</w:t>
      </w:r>
    </w:p>
    <w:p w:rsidR="004C1433" w:rsidRDefault="004C1433" w:rsidP="00431A91">
      <w:pPr>
        <w:pStyle w:val="ListParagraph"/>
        <w:numPr>
          <w:ilvl w:val="3"/>
          <w:numId w:val="2"/>
        </w:numPr>
      </w:pPr>
      <w:r>
        <w:t>To summarize:</w:t>
      </w:r>
      <w:r w:rsidR="00482B07" w:rsidRPr="004C1433">
        <w:t xml:space="preserve"> </w:t>
      </w:r>
      <w:r>
        <w:t>certain s</w:t>
      </w:r>
      <w:r w:rsidR="00482B07" w:rsidRPr="004C1433">
        <w:t xml:space="preserve">cholarly and journalistic activities; health surveillance; collection </w:t>
      </w:r>
      <w:r w:rsidR="00482B07" w:rsidRPr="004C1433">
        <w:t>of information for criminal justice purposes; and operational activities in support of national security and homeland defense as provided in the Final Rule are not considered research.</w:t>
      </w:r>
    </w:p>
    <w:p w:rsidR="004C1433" w:rsidRDefault="004C1433" w:rsidP="004C1433">
      <w:pPr>
        <w:pStyle w:val="ListParagraph"/>
        <w:numPr>
          <w:ilvl w:val="2"/>
          <w:numId w:val="2"/>
        </w:numPr>
      </w:pPr>
      <w:r>
        <w:t>Changes to “Vulnerable”</w:t>
      </w:r>
    </w:p>
    <w:p w:rsidR="00BC426A" w:rsidRDefault="004C1433" w:rsidP="004C1433">
      <w:pPr>
        <w:pStyle w:val="ListParagraph"/>
        <w:numPr>
          <w:ilvl w:val="3"/>
          <w:numId w:val="2"/>
        </w:numPr>
      </w:pPr>
      <w:r>
        <w:t xml:space="preserve">Pregnant women and physically disabled </w:t>
      </w:r>
      <w:r w:rsidR="00BC426A">
        <w:t>individuals</w:t>
      </w:r>
      <w:r>
        <w:t xml:space="preserve"> are no longer considered vulnerable to coercion or undue influence. </w:t>
      </w:r>
    </w:p>
    <w:p w:rsidR="004C1433" w:rsidRDefault="00BC426A" w:rsidP="004C1433">
      <w:pPr>
        <w:pStyle w:val="ListParagraph"/>
        <w:numPr>
          <w:ilvl w:val="3"/>
          <w:numId w:val="2"/>
        </w:numPr>
      </w:pPr>
      <w:r>
        <w:t>“Mentally disabled persons” has been replaced with “individuals with impaired decision-making ability”</w:t>
      </w:r>
      <w:r w:rsidR="004C1433">
        <w:t xml:space="preserve"> </w:t>
      </w:r>
    </w:p>
    <w:p w:rsidR="00C25B0D" w:rsidRDefault="00C25B0D" w:rsidP="00303E11">
      <w:pPr>
        <w:pStyle w:val="ListParagraph"/>
        <w:numPr>
          <w:ilvl w:val="1"/>
          <w:numId w:val="2"/>
        </w:numPr>
      </w:pPr>
      <w:r>
        <w:t>FWA’s no longer a check in the box.</w:t>
      </w:r>
    </w:p>
    <w:p w:rsidR="00C25B0D" w:rsidRDefault="00C25B0D" w:rsidP="00303E11">
      <w:pPr>
        <w:pStyle w:val="ListParagraph"/>
        <w:numPr>
          <w:ilvl w:val="2"/>
          <w:numId w:val="2"/>
        </w:numPr>
      </w:pPr>
      <w:r>
        <w:t>FWA required if the research is:</w:t>
      </w:r>
    </w:p>
    <w:p w:rsidR="00C25B0D" w:rsidRDefault="00C25B0D" w:rsidP="00303E11">
      <w:pPr>
        <w:pStyle w:val="ListParagraph"/>
        <w:numPr>
          <w:ilvl w:val="3"/>
          <w:numId w:val="2"/>
        </w:numPr>
      </w:pPr>
      <w:r>
        <w:t>Federally funded.</w:t>
      </w:r>
    </w:p>
    <w:p w:rsidR="00C25B0D" w:rsidRDefault="00C25B0D" w:rsidP="00303E11">
      <w:pPr>
        <w:pStyle w:val="ListParagraph"/>
        <w:numPr>
          <w:ilvl w:val="3"/>
          <w:numId w:val="2"/>
        </w:numPr>
      </w:pPr>
      <w:r>
        <w:t xml:space="preserve">Conducted by a federal agency. </w:t>
      </w:r>
    </w:p>
    <w:p w:rsidR="00303E11" w:rsidRDefault="00303E11" w:rsidP="00303E11">
      <w:pPr>
        <w:pStyle w:val="ListParagraph"/>
        <w:numPr>
          <w:ilvl w:val="2"/>
          <w:numId w:val="2"/>
        </w:numPr>
      </w:pPr>
      <w:r>
        <w:t>FWAs no longer a declaration of ethical principles</w:t>
      </w:r>
    </w:p>
    <w:p w:rsidR="00C25B0D" w:rsidRDefault="00C25B0D" w:rsidP="00303E11">
      <w:pPr>
        <w:pStyle w:val="ListParagraph"/>
        <w:numPr>
          <w:ilvl w:val="1"/>
          <w:numId w:val="2"/>
        </w:numPr>
      </w:pPr>
      <w:r>
        <w:t>Renumbering of a few provisions</w:t>
      </w:r>
    </w:p>
    <w:p w:rsidR="00C25B0D" w:rsidRDefault="00C25B0D" w:rsidP="00303E11">
      <w:pPr>
        <w:pStyle w:val="ListParagraph"/>
        <w:numPr>
          <w:ilvl w:val="2"/>
          <w:numId w:val="2"/>
        </w:numPr>
      </w:pPr>
      <w:r>
        <w:t>Section titles and scheme had minimal reorganization</w:t>
      </w:r>
    </w:p>
    <w:p w:rsidR="00C25B0D" w:rsidRDefault="00C25B0D" w:rsidP="00C25B0D">
      <w:pPr>
        <w:pStyle w:val="ListParagraph"/>
        <w:numPr>
          <w:ilvl w:val="3"/>
          <w:numId w:val="2"/>
        </w:numPr>
      </w:pPr>
      <w:r>
        <w:t xml:space="preserve">Some provisions have been relocated (ex: Provisions for exemptions moved from .101 to .104) </w:t>
      </w:r>
    </w:p>
    <w:p w:rsidR="000D050A" w:rsidRDefault="000D050A" w:rsidP="00C25B0D">
      <w:pPr>
        <w:pStyle w:val="ListParagraph"/>
        <w:numPr>
          <w:ilvl w:val="3"/>
          <w:numId w:val="2"/>
        </w:numPr>
      </w:pPr>
      <w:r>
        <w:t xml:space="preserve">Some areas were re-organized (ex: definitions are now alphabetized.) </w:t>
      </w:r>
    </w:p>
    <w:p w:rsidR="003044DF" w:rsidRDefault="003044DF" w:rsidP="008F089C">
      <w:pPr>
        <w:pStyle w:val="Heading2"/>
      </w:pPr>
      <w:r>
        <w:t xml:space="preserve">How do the changes to the Common Rule impact the </w:t>
      </w:r>
      <w:r w:rsidR="000617C8">
        <w:t>i</w:t>
      </w:r>
      <w:r>
        <w:t>nvestigator?</w:t>
      </w:r>
    </w:p>
    <w:p w:rsidR="008F089C" w:rsidRDefault="008F089C" w:rsidP="008F089C">
      <w:r>
        <w:t>Most of the changes to the Common Rule were put in place to reduce burden on investigators and improve the rule by clarifying some concepts.  As an investigator the changes you will need to become familiar with are:</w:t>
      </w:r>
    </w:p>
    <w:p w:rsidR="008F089C" w:rsidRDefault="008F089C" w:rsidP="008F089C">
      <w:pPr>
        <w:pStyle w:val="ListParagraph"/>
        <w:numPr>
          <w:ilvl w:val="0"/>
          <w:numId w:val="5"/>
        </w:numPr>
      </w:pPr>
      <w:r>
        <w:t xml:space="preserve">Activities </w:t>
      </w:r>
      <w:r w:rsidR="00604130">
        <w:t>“</w:t>
      </w:r>
      <w:r>
        <w:t xml:space="preserve">deemed </w:t>
      </w:r>
      <w:r w:rsidR="00604130">
        <w:t>n</w:t>
      </w:r>
      <w:r>
        <w:t xml:space="preserve">ot </w:t>
      </w:r>
      <w:r w:rsidR="00604130">
        <w:t>r</w:t>
      </w:r>
      <w:r>
        <w:t>esearch”</w:t>
      </w:r>
    </w:p>
    <w:p w:rsidR="008F089C" w:rsidRDefault="008F089C" w:rsidP="008F089C">
      <w:pPr>
        <w:pStyle w:val="ListParagraph"/>
        <w:numPr>
          <w:ilvl w:val="0"/>
          <w:numId w:val="5"/>
        </w:numPr>
      </w:pPr>
      <w:r>
        <w:t>Changes to informed consent, including the addition of broad consent</w:t>
      </w:r>
    </w:p>
    <w:p w:rsidR="008F089C" w:rsidRDefault="008F089C" w:rsidP="008F089C">
      <w:pPr>
        <w:pStyle w:val="ListParagraph"/>
        <w:numPr>
          <w:ilvl w:val="0"/>
          <w:numId w:val="5"/>
        </w:numPr>
      </w:pPr>
      <w:r>
        <w:t>Exempt categories and their applicability to Subparts B, C, and D (research with pregnant women, neonates, fetuses, prisoners, or children)</w:t>
      </w:r>
    </w:p>
    <w:p w:rsidR="00604130" w:rsidRDefault="00604130" w:rsidP="008F089C">
      <w:pPr>
        <w:pStyle w:val="ListParagraph"/>
        <w:numPr>
          <w:ilvl w:val="0"/>
          <w:numId w:val="5"/>
        </w:numPr>
      </w:pPr>
      <w:r>
        <w:t>Applicability to limited IRB review (used with exemptions 2c, 3c, 7, and 8)</w:t>
      </w:r>
    </w:p>
    <w:p w:rsidR="00604130" w:rsidRDefault="00604130" w:rsidP="00202175">
      <w:pPr>
        <w:pStyle w:val="ListParagraph"/>
        <w:numPr>
          <w:ilvl w:val="0"/>
          <w:numId w:val="5"/>
        </w:numPr>
      </w:pPr>
      <w:r>
        <w:t>Please note r</w:t>
      </w:r>
      <w:r>
        <w:t>esearch covered under other rules, procedures, or directives (ex: FDA under 21 CFR 50 and 56)</w:t>
      </w:r>
      <w:r>
        <w:t xml:space="preserve"> will require adherence to additional requirements.</w:t>
      </w:r>
    </w:p>
    <w:p w:rsidR="00604130" w:rsidRDefault="00604130" w:rsidP="00604130">
      <w:pPr>
        <w:pStyle w:val="Heading2"/>
      </w:pPr>
      <w:r>
        <w:t>Where can I find additional information?</w:t>
      </w:r>
    </w:p>
    <w:p w:rsidR="00604130" w:rsidRDefault="00604130" w:rsidP="00604130">
      <w:pPr>
        <w:pStyle w:val="ListParagraph"/>
        <w:numPr>
          <w:ilvl w:val="0"/>
          <w:numId w:val="6"/>
        </w:numPr>
      </w:pPr>
      <w:r>
        <w:t xml:space="preserve">Look for new forms, decision trees, and information at </w:t>
      </w:r>
      <w:hyperlink r:id="rId5" w:history="1">
        <w:r w:rsidRPr="004916F3">
          <w:rPr>
            <w:rStyle w:val="Hyperlink"/>
          </w:rPr>
          <w:t>www.wtamu.edu/IRB</w:t>
        </w:r>
      </w:hyperlink>
    </w:p>
    <w:p w:rsidR="00604130" w:rsidRDefault="00604130" w:rsidP="000A797C">
      <w:pPr>
        <w:pStyle w:val="ListParagraph"/>
        <w:numPr>
          <w:ilvl w:val="0"/>
          <w:numId w:val="6"/>
        </w:numPr>
      </w:pPr>
      <w:r>
        <w:t xml:space="preserve">Participate in training specifically focused on the new Common Rule at </w:t>
      </w:r>
      <w:hyperlink r:id="rId6" w:history="1">
        <w:r w:rsidRPr="004916F3">
          <w:rPr>
            <w:rStyle w:val="Hyperlink"/>
          </w:rPr>
          <w:t>www.citiprogram.org</w:t>
        </w:r>
      </w:hyperlink>
    </w:p>
    <w:p w:rsidR="00482B07" w:rsidRDefault="00482B07" w:rsidP="00482B07">
      <w:pPr>
        <w:pStyle w:val="ListParagraph"/>
        <w:numPr>
          <w:ilvl w:val="0"/>
          <w:numId w:val="6"/>
        </w:numPr>
      </w:pPr>
      <w:r>
        <w:t>Contact the IRB Chair or AR-EHS at 806.651.2270 or AR-EHS@wtamu.edu</w:t>
      </w:r>
      <w:bookmarkStart w:id="0" w:name="_GoBack"/>
      <w:bookmarkEnd w:id="0"/>
    </w:p>
    <w:sectPr w:rsidR="0048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A6"/>
    <w:multiLevelType w:val="hybridMultilevel"/>
    <w:tmpl w:val="A0E288A4"/>
    <w:lvl w:ilvl="0" w:tplc="7C6A5480">
      <w:start w:val="1"/>
      <w:numFmt w:val="bullet"/>
      <w:lvlText w:val="•"/>
      <w:lvlJc w:val="left"/>
      <w:pPr>
        <w:tabs>
          <w:tab w:val="num" w:pos="720"/>
        </w:tabs>
        <w:ind w:left="720" w:hanging="360"/>
      </w:pPr>
      <w:rPr>
        <w:rFonts w:ascii="Arial" w:hAnsi="Arial" w:hint="default"/>
      </w:rPr>
    </w:lvl>
    <w:lvl w:ilvl="1" w:tplc="11FAF34A" w:tentative="1">
      <w:start w:val="1"/>
      <w:numFmt w:val="bullet"/>
      <w:lvlText w:val="•"/>
      <w:lvlJc w:val="left"/>
      <w:pPr>
        <w:tabs>
          <w:tab w:val="num" w:pos="1440"/>
        </w:tabs>
        <w:ind w:left="1440" w:hanging="360"/>
      </w:pPr>
      <w:rPr>
        <w:rFonts w:ascii="Arial" w:hAnsi="Arial" w:hint="default"/>
      </w:rPr>
    </w:lvl>
    <w:lvl w:ilvl="2" w:tplc="1DC21AFA" w:tentative="1">
      <w:start w:val="1"/>
      <w:numFmt w:val="bullet"/>
      <w:lvlText w:val="•"/>
      <w:lvlJc w:val="left"/>
      <w:pPr>
        <w:tabs>
          <w:tab w:val="num" w:pos="2160"/>
        </w:tabs>
        <w:ind w:left="2160" w:hanging="360"/>
      </w:pPr>
      <w:rPr>
        <w:rFonts w:ascii="Arial" w:hAnsi="Arial" w:hint="default"/>
      </w:rPr>
    </w:lvl>
    <w:lvl w:ilvl="3" w:tplc="3E523A18" w:tentative="1">
      <w:start w:val="1"/>
      <w:numFmt w:val="bullet"/>
      <w:lvlText w:val="•"/>
      <w:lvlJc w:val="left"/>
      <w:pPr>
        <w:tabs>
          <w:tab w:val="num" w:pos="2880"/>
        </w:tabs>
        <w:ind w:left="2880" w:hanging="360"/>
      </w:pPr>
      <w:rPr>
        <w:rFonts w:ascii="Arial" w:hAnsi="Arial" w:hint="default"/>
      </w:rPr>
    </w:lvl>
    <w:lvl w:ilvl="4" w:tplc="1D4C4186" w:tentative="1">
      <w:start w:val="1"/>
      <w:numFmt w:val="bullet"/>
      <w:lvlText w:val="•"/>
      <w:lvlJc w:val="left"/>
      <w:pPr>
        <w:tabs>
          <w:tab w:val="num" w:pos="3600"/>
        </w:tabs>
        <w:ind w:left="3600" w:hanging="360"/>
      </w:pPr>
      <w:rPr>
        <w:rFonts w:ascii="Arial" w:hAnsi="Arial" w:hint="default"/>
      </w:rPr>
    </w:lvl>
    <w:lvl w:ilvl="5" w:tplc="2A22CD6A" w:tentative="1">
      <w:start w:val="1"/>
      <w:numFmt w:val="bullet"/>
      <w:lvlText w:val="•"/>
      <w:lvlJc w:val="left"/>
      <w:pPr>
        <w:tabs>
          <w:tab w:val="num" w:pos="4320"/>
        </w:tabs>
        <w:ind w:left="4320" w:hanging="360"/>
      </w:pPr>
      <w:rPr>
        <w:rFonts w:ascii="Arial" w:hAnsi="Arial" w:hint="default"/>
      </w:rPr>
    </w:lvl>
    <w:lvl w:ilvl="6" w:tplc="DD6AE540" w:tentative="1">
      <w:start w:val="1"/>
      <w:numFmt w:val="bullet"/>
      <w:lvlText w:val="•"/>
      <w:lvlJc w:val="left"/>
      <w:pPr>
        <w:tabs>
          <w:tab w:val="num" w:pos="5040"/>
        </w:tabs>
        <w:ind w:left="5040" w:hanging="360"/>
      </w:pPr>
      <w:rPr>
        <w:rFonts w:ascii="Arial" w:hAnsi="Arial" w:hint="default"/>
      </w:rPr>
    </w:lvl>
    <w:lvl w:ilvl="7" w:tplc="804C7360" w:tentative="1">
      <w:start w:val="1"/>
      <w:numFmt w:val="bullet"/>
      <w:lvlText w:val="•"/>
      <w:lvlJc w:val="left"/>
      <w:pPr>
        <w:tabs>
          <w:tab w:val="num" w:pos="5760"/>
        </w:tabs>
        <w:ind w:left="5760" w:hanging="360"/>
      </w:pPr>
      <w:rPr>
        <w:rFonts w:ascii="Arial" w:hAnsi="Arial" w:hint="default"/>
      </w:rPr>
    </w:lvl>
    <w:lvl w:ilvl="8" w:tplc="B596B9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4518D"/>
    <w:multiLevelType w:val="hybridMultilevel"/>
    <w:tmpl w:val="A5A2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74CD4"/>
    <w:multiLevelType w:val="hybridMultilevel"/>
    <w:tmpl w:val="55306E82"/>
    <w:lvl w:ilvl="0" w:tplc="D1C8943E">
      <w:start w:val="1"/>
      <w:numFmt w:val="bullet"/>
      <w:lvlText w:val="•"/>
      <w:lvlJc w:val="left"/>
      <w:pPr>
        <w:tabs>
          <w:tab w:val="num" w:pos="720"/>
        </w:tabs>
        <w:ind w:left="720" w:hanging="360"/>
      </w:pPr>
      <w:rPr>
        <w:rFonts w:ascii="Arial" w:hAnsi="Arial" w:hint="default"/>
      </w:rPr>
    </w:lvl>
    <w:lvl w:ilvl="1" w:tplc="7BC6E34C" w:tentative="1">
      <w:start w:val="1"/>
      <w:numFmt w:val="bullet"/>
      <w:lvlText w:val="•"/>
      <w:lvlJc w:val="left"/>
      <w:pPr>
        <w:tabs>
          <w:tab w:val="num" w:pos="1440"/>
        </w:tabs>
        <w:ind w:left="1440" w:hanging="360"/>
      </w:pPr>
      <w:rPr>
        <w:rFonts w:ascii="Arial" w:hAnsi="Arial" w:hint="default"/>
      </w:rPr>
    </w:lvl>
    <w:lvl w:ilvl="2" w:tplc="8A66E5CA" w:tentative="1">
      <w:start w:val="1"/>
      <w:numFmt w:val="bullet"/>
      <w:lvlText w:val="•"/>
      <w:lvlJc w:val="left"/>
      <w:pPr>
        <w:tabs>
          <w:tab w:val="num" w:pos="2160"/>
        </w:tabs>
        <w:ind w:left="2160" w:hanging="360"/>
      </w:pPr>
      <w:rPr>
        <w:rFonts w:ascii="Arial" w:hAnsi="Arial" w:hint="default"/>
      </w:rPr>
    </w:lvl>
    <w:lvl w:ilvl="3" w:tplc="1358946C" w:tentative="1">
      <w:start w:val="1"/>
      <w:numFmt w:val="bullet"/>
      <w:lvlText w:val="•"/>
      <w:lvlJc w:val="left"/>
      <w:pPr>
        <w:tabs>
          <w:tab w:val="num" w:pos="2880"/>
        </w:tabs>
        <w:ind w:left="2880" w:hanging="360"/>
      </w:pPr>
      <w:rPr>
        <w:rFonts w:ascii="Arial" w:hAnsi="Arial" w:hint="default"/>
      </w:rPr>
    </w:lvl>
    <w:lvl w:ilvl="4" w:tplc="5D6C755C" w:tentative="1">
      <w:start w:val="1"/>
      <w:numFmt w:val="bullet"/>
      <w:lvlText w:val="•"/>
      <w:lvlJc w:val="left"/>
      <w:pPr>
        <w:tabs>
          <w:tab w:val="num" w:pos="3600"/>
        </w:tabs>
        <w:ind w:left="3600" w:hanging="360"/>
      </w:pPr>
      <w:rPr>
        <w:rFonts w:ascii="Arial" w:hAnsi="Arial" w:hint="default"/>
      </w:rPr>
    </w:lvl>
    <w:lvl w:ilvl="5" w:tplc="EE2A870A" w:tentative="1">
      <w:start w:val="1"/>
      <w:numFmt w:val="bullet"/>
      <w:lvlText w:val="•"/>
      <w:lvlJc w:val="left"/>
      <w:pPr>
        <w:tabs>
          <w:tab w:val="num" w:pos="4320"/>
        </w:tabs>
        <w:ind w:left="4320" w:hanging="360"/>
      </w:pPr>
      <w:rPr>
        <w:rFonts w:ascii="Arial" w:hAnsi="Arial" w:hint="default"/>
      </w:rPr>
    </w:lvl>
    <w:lvl w:ilvl="6" w:tplc="17FEBDC8" w:tentative="1">
      <w:start w:val="1"/>
      <w:numFmt w:val="bullet"/>
      <w:lvlText w:val="•"/>
      <w:lvlJc w:val="left"/>
      <w:pPr>
        <w:tabs>
          <w:tab w:val="num" w:pos="5040"/>
        </w:tabs>
        <w:ind w:left="5040" w:hanging="360"/>
      </w:pPr>
      <w:rPr>
        <w:rFonts w:ascii="Arial" w:hAnsi="Arial" w:hint="default"/>
      </w:rPr>
    </w:lvl>
    <w:lvl w:ilvl="7" w:tplc="3DF2009E" w:tentative="1">
      <w:start w:val="1"/>
      <w:numFmt w:val="bullet"/>
      <w:lvlText w:val="•"/>
      <w:lvlJc w:val="left"/>
      <w:pPr>
        <w:tabs>
          <w:tab w:val="num" w:pos="5760"/>
        </w:tabs>
        <w:ind w:left="5760" w:hanging="360"/>
      </w:pPr>
      <w:rPr>
        <w:rFonts w:ascii="Arial" w:hAnsi="Arial" w:hint="default"/>
      </w:rPr>
    </w:lvl>
    <w:lvl w:ilvl="8" w:tplc="F5CAE9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0547F6"/>
    <w:multiLevelType w:val="hybridMultilevel"/>
    <w:tmpl w:val="C1906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04C8E"/>
    <w:multiLevelType w:val="hybridMultilevel"/>
    <w:tmpl w:val="43D0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722D3"/>
    <w:multiLevelType w:val="hybridMultilevel"/>
    <w:tmpl w:val="82A0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DF"/>
    <w:rsid w:val="000617C8"/>
    <w:rsid w:val="000A379E"/>
    <w:rsid w:val="000D050A"/>
    <w:rsid w:val="00303E11"/>
    <w:rsid w:val="003044DF"/>
    <w:rsid w:val="00357FEF"/>
    <w:rsid w:val="00482B07"/>
    <w:rsid w:val="004C1433"/>
    <w:rsid w:val="0054223C"/>
    <w:rsid w:val="00604130"/>
    <w:rsid w:val="00850BF1"/>
    <w:rsid w:val="008F089C"/>
    <w:rsid w:val="00A4660E"/>
    <w:rsid w:val="00BB2F28"/>
    <w:rsid w:val="00BC426A"/>
    <w:rsid w:val="00C25B0D"/>
    <w:rsid w:val="00DC4501"/>
    <w:rsid w:val="00E0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2C23"/>
  <w15:chartTrackingRefBased/>
  <w15:docId w15:val="{228F4D54-07C6-4B7C-B4B3-11CF55A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1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4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44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044DF"/>
    <w:pPr>
      <w:ind w:left="720"/>
      <w:contextualSpacing/>
    </w:pPr>
  </w:style>
  <w:style w:type="character" w:customStyle="1" w:styleId="Heading2Char">
    <w:name w:val="Heading 2 Char"/>
    <w:basedOn w:val="DefaultParagraphFont"/>
    <w:link w:val="Heading2"/>
    <w:uiPriority w:val="9"/>
    <w:rsid w:val="000617C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04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2001">
      <w:bodyDiv w:val="1"/>
      <w:marLeft w:val="0"/>
      <w:marRight w:val="0"/>
      <w:marTop w:val="0"/>
      <w:marBottom w:val="0"/>
      <w:divBdr>
        <w:top w:val="none" w:sz="0" w:space="0" w:color="auto"/>
        <w:left w:val="none" w:sz="0" w:space="0" w:color="auto"/>
        <w:bottom w:val="none" w:sz="0" w:space="0" w:color="auto"/>
        <w:right w:val="none" w:sz="0" w:space="0" w:color="auto"/>
      </w:divBdr>
      <w:divsChild>
        <w:div w:id="1098983657">
          <w:marLeft w:val="360"/>
          <w:marRight w:val="0"/>
          <w:marTop w:val="200"/>
          <w:marBottom w:val="0"/>
          <w:divBdr>
            <w:top w:val="none" w:sz="0" w:space="0" w:color="auto"/>
            <w:left w:val="none" w:sz="0" w:space="0" w:color="auto"/>
            <w:bottom w:val="none" w:sz="0" w:space="0" w:color="auto"/>
            <w:right w:val="none" w:sz="0" w:space="0" w:color="auto"/>
          </w:divBdr>
        </w:div>
      </w:divsChild>
    </w:div>
    <w:div w:id="1779836432">
      <w:bodyDiv w:val="1"/>
      <w:marLeft w:val="0"/>
      <w:marRight w:val="0"/>
      <w:marTop w:val="0"/>
      <w:marBottom w:val="0"/>
      <w:divBdr>
        <w:top w:val="none" w:sz="0" w:space="0" w:color="auto"/>
        <w:left w:val="none" w:sz="0" w:space="0" w:color="auto"/>
        <w:bottom w:val="none" w:sz="0" w:space="0" w:color="auto"/>
        <w:right w:val="none" w:sz="0" w:space="0" w:color="auto"/>
      </w:divBdr>
      <w:divsChild>
        <w:div w:id="1277564173">
          <w:marLeft w:val="360"/>
          <w:marRight w:val="0"/>
          <w:marTop w:val="200"/>
          <w:marBottom w:val="0"/>
          <w:divBdr>
            <w:top w:val="none" w:sz="0" w:space="0" w:color="auto"/>
            <w:left w:val="none" w:sz="0" w:space="0" w:color="auto"/>
            <w:bottom w:val="none" w:sz="0" w:space="0" w:color="auto"/>
            <w:right w:val="none" w:sz="0" w:space="0" w:color="auto"/>
          </w:divBdr>
        </w:div>
        <w:div w:id="928124314">
          <w:marLeft w:val="360"/>
          <w:marRight w:val="0"/>
          <w:marTop w:val="200"/>
          <w:marBottom w:val="0"/>
          <w:divBdr>
            <w:top w:val="none" w:sz="0" w:space="0" w:color="auto"/>
            <w:left w:val="none" w:sz="0" w:space="0" w:color="auto"/>
            <w:bottom w:val="none" w:sz="0" w:space="0" w:color="auto"/>
            <w:right w:val="none" w:sz="0" w:space="0" w:color="auto"/>
          </w:divBdr>
        </w:div>
        <w:div w:id="102237117">
          <w:marLeft w:val="360"/>
          <w:marRight w:val="0"/>
          <w:marTop w:val="200"/>
          <w:marBottom w:val="0"/>
          <w:divBdr>
            <w:top w:val="none" w:sz="0" w:space="0" w:color="auto"/>
            <w:left w:val="none" w:sz="0" w:space="0" w:color="auto"/>
            <w:bottom w:val="none" w:sz="0" w:space="0" w:color="auto"/>
            <w:right w:val="none" w:sz="0" w:space="0" w:color="auto"/>
          </w:divBdr>
        </w:div>
        <w:div w:id="42797171">
          <w:marLeft w:val="360"/>
          <w:marRight w:val="0"/>
          <w:marTop w:val="200"/>
          <w:marBottom w:val="0"/>
          <w:divBdr>
            <w:top w:val="none" w:sz="0" w:space="0" w:color="auto"/>
            <w:left w:val="none" w:sz="0" w:space="0" w:color="auto"/>
            <w:bottom w:val="none" w:sz="0" w:space="0" w:color="auto"/>
            <w:right w:val="none" w:sz="0" w:space="0" w:color="auto"/>
          </w:divBdr>
        </w:div>
        <w:div w:id="184176604">
          <w:marLeft w:val="360"/>
          <w:marRight w:val="0"/>
          <w:marTop w:val="200"/>
          <w:marBottom w:val="0"/>
          <w:divBdr>
            <w:top w:val="none" w:sz="0" w:space="0" w:color="auto"/>
            <w:left w:val="none" w:sz="0" w:space="0" w:color="auto"/>
            <w:bottom w:val="none" w:sz="0" w:space="0" w:color="auto"/>
            <w:right w:val="none" w:sz="0" w:space="0" w:color="auto"/>
          </w:divBdr>
        </w:div>
        <w:div w:id="12113817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program.org" TargetMode="External"/><Relationship Id="rId5" Type="http://schemas.openxmlformats.org/officeDocument/2006/relationships/hyperlink" Target="http://www.wtamu.edu/IR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Texas A&amp;M University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Richard C.</dc:creator>
  <cp:keywords/>
  <dc:description/>
  <cp:lastModifiedBy>Smith, Richard C.</cp:lastModifiedBy>
  <cp:revision>11</cp:revision>
  <dcterms:created xsi:type="dcterms:W3CDTF">2019-01-19T00:39:00Z</dcterms:created>
  <dcterms:modified xsi:type="dcterms:W3CDTF">2019-01-19T16:01:00Z</dcterms:modified>
</cp:coreProperties>
</file>