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8F" w:rsidRDefault="00DC108F" w:rsidP="00A63331">
      <w:pPr>
        <w:pStyle w:val="Subtitle"/>
        <w:pBdr>
          <w:top w:val="none" w:sz="0" w:space="0" w:color="auto"/>
          <w:left w:val="none" w:sz="0" w:space="0" w:color="auto"/>
          <w:bottom w:val="none" w:sz="0" w:space="0" w:color="auto"/>
          <w:right w:val="none" w:sz="0" w:space="0" w:color="auto"/>
        </w:pBdr>
        <w:jc w:val="left"/>
        <w:rPr>
          <w:bCs/>
          <w:sz w:val="20"/>
          <w:szCs w:val="20"/>
        </w:rPr>
      </w:pPr>
    </w:p>
    <w:p w:rsidR="00707FA4"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r w:rsidRPr="00A62352">
        <w:rPr>
          <w:b/>
          <w:bCs/>
          <w:sz w:val="20"/>
          <w:szCs w:val="20"/>
        </w:rPr>
        <w:t>TO:</w:t>
      </w:r>
      <w:r w:rsidR="0019329D">
        <w:rPr>
          <w:bCs/>
          <w:sz w:val="20"/>
          <w:szCs w:val="20"/>
        </w:rPr>
        <w:tab/>
      </w:r>
      <w:r w:rsidR="0019329D">
        <w:rPr>
          <w:bCs/>
          <w:sz w:val="20"/>
          <w:szCs w:val="20"/>
        </w:rPr>
        <w:tab/>
      </w:r>
      <w:r w:rsidR="00DC108F">
        <w:rPr>
          <w:bCs/>
          <w:sz w:val="20"/>
          <w:szCs w:val="20"/>
        </w:rPr>
        <w:t>WTAMU Sponsored Project Investigators</w:t>
      </w:r>
      <w:r>
        <w:rPr>
          <w:bCs/>
          <w:sz w:val="20"/>
          <w:szCs w:val="20"/>
        </w:rPr>
        <w:tab/>
      </w:r>
    </w:p>
    <w:p w:rsidR="004542E9"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p>
    <w:p w:rsidR="004542E9"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r w:rsidRPr="00A62352">
        <w:rPr>
          <w:b/>
          <w:bCs/>
          <w:sz w:val="20"/>
          <w:szCs w:val="20"/>
        </w:rPr>
        <w:t>FROM:</w:t>
      </w:r>
      <w:r w:rsidRPr="00A62352">
        <w:rPr>
          <w:b/>
          <w:bCs/>
          <w:sz w:val="20"/>
          <w:szCs w:val="20"/>
        </w:rPr>
        <w:tab/>
      </w:r>
      <w:r>
        <w:rPr>
          <w:bCs/>
          <w:sz w:val="20"/>
          <w:szCs w:val="20"/>
        </w:rPr>
        <w:tab/>
      </w:r>
      <w:r w:rsidR="00557AEA">
        <w:rPr>
          <w:bCs/>
          <w:sz w:val="20"/>
          <w:szCs w:val="20"/>
        </w:rPr>
        <w:t>Shelly Davis</w:t>
      </w:r>
      <w:r>
        <w:rPr>
          <w:bCs/>
          <w:sz w:val="20"/>
          <w:szCs w:val="20"/>
        </w:rPr>
        <w:t xml:space="preserve">, </w:t>
      </w:r>
      <w:r w:rsidR="0019329D">
        <w:rPr>
          <w:bCs/>
          <w:sz w:val="20"/>
          <w:szCs w:val="20"/>
        </w:rPr>
        <w:t xml:space="preserve">Associate Vice President and </w:t>
      </w:r>
      <w:r>
        <w:rPr>
          <w:bCs/>
          <w:sz w:val="20"/>
          <w:szCs w:val="20"/>
        </w:rPr>
        <w:t>Controller</w:t>
      </w:r>
    </w:p>
    <w:p w:rsidR="004542E9"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r>
        <w:rPr>
          <w:bCs/>
          <w:sz w:val="20"/>
          <w:szCs w:val="20"/>
        </w:rPr>
        <w:tab/>
      </w:r>
      <w:r>
        <w:rPr>
          <w:bCs/>
          <w:sz w:val="20"/>
          <w:szCs w:val="20"/>
        </w:rPr>
        <w:tab/>
        <w:t>Kaaren J. Downey, Executive Director, Sponsored Research Services</w:t>
      </w:r>
    </w:p>
    <w:p w:rsidR="004542E9"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p>
    <w:p w:rsidR="004542E9"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r w:rsidRPr="00A62352">
        <w:rPr>
          <w:b/>
          <w:bCs/>
          <w:sz w:val="20"/>
          <w:szCs w:val="20"/>
        </w:rPr>
        <w:t>DATE:</w:t>
      </w:r>
      <w:r>
        <w:rPr>
          <w:bCs/>
          <w:sz w:val="20"/>
          <w:szCs w:val="20"/>
        </w:rPr>
        <w:tab/>
      </w:r>
      <w:r>
        <w:rPr>
          <w:bCs/>
          <w:sz w:val="20"/>
          <w:szCs w:val="20"/>
        </w:rPr>
        <w:tab/>
      </w:r>
      <w:proofErr w:type="spellStart"/>
      <w:r w:rsidR="00C458E0" w:rsidRPr="00C458E0">
        <w:rPr>
          <w:bCs/>
          <w:sz w:val="20"/>
          <w:szCs w:val="20"/>
          <w:highlight w:val="yellow"/>
        </w:rPr>
        <w:t>xxxxxxxxx</w:t>
      </w:r>
      <w:proofErr w:type="spellEnd"/>
    </w:p>
    <w:p w:rsidR="004542E9"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p>
    <w:p w:rsidR="004542E9" w:rsidRPr="004542E9"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r w:rsidRPr="00A62352">
        <w:rPr>
          <w:b/>
          <w:bCs/>
          <w:sz w:val="20"/>
          <w:szCs w:val="20"/>
        </w:rPr>
        <w:t>SUBJECT:</w:t>
      </w:r>
      <w:r>
        <w:rPr>
          <w:bCs/>
          <w:sz w:val="20"/>
          <w:szCs w:val="20"/>
        </w:rPr>
        <w:tab/>
        <w:t>New Federally Negotiated Facilities &amp; Administrative (F&amp;A) Rate Agreement</w:t>
      </w:r>
    </w:p>
    <w:p w:rsidR="004542E9" w:rsidRPr="004542E9"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p>
    <w:p w:rsidR="004542E9" w:rsidRPr="004542E9" w:rsidRDefault="004542E9" w:rsidP="00A63331">
      <w:pPr>
        <w:pStyle w:val="Subtitle"/>
        <w:pBdr>
          <w:top w:val="none" w:sz="0" w:space="0" w:color="auto"/>
          <w:left w:val="none" w:sz="0" w:space="0" w:color="auto"/>
          <w:bottom w:val="none" w:sz="0" w:space="0" w:color="auto"/>
          <w:right w:val="none" w:sz="0" w:space="0" w:color="auto"/>
        </w:pBdr>
        <w:jc w:val="left"/>
        <w:rPr>
          <w:bCs/>
          <w:sz w:val="20"/>
          <w:szCs w:val="20"/>
        </w:rPr>
      </w:pPr>
    </w:p>
    <w:p w:rsidR="00BF63F1" w:rsidRDefault="00BF63F1" w:rsidP="00BF63F1">
      <w:pPr>
        <w:jc w:val="both"/>
        <w:rPr>
          <w:rFonts w:ascii="Arial" w:hAnsi="Arial" w:cs="Arial"/>
          <w:sz w:val="20"/>
          <w:szCs w:val="20"/>
        </w:rPr>
      </w:pPr>
    </w:p>
    <w:p w:rsidR="004542E9" w:rsidRDefault="004542E9" w:rsidP="00BF63F1">
      <w:pPr>
        <w:jc w:val="both"/>
        <w:rPr>
          <w:rFonts w:ascii="Arial" w:hAnsi="Arial" w:cs="Arial"/>
          <w:sz w:val="20"/>
          <w:szCs w:val="20"/>
        </w:rPr>
      </w:pPr>
      <w:r w:rsidRPr="004542E9">
        <w:rPr>
          <w:rFonts w:ascii="Arial" w:hAnsi="Arial" w:cs="Arial"/>
          <w:sz w:val="20"/>
          <w:szCs w:val="20"/>
        </w:rPr>
        <w:t xml:space="preserve">West Texas </w:t>
      </w:r>
      <w:proofErr w:type="gramStart"/>
      <w:r w:rsidRPr="004542E9">
        <w:rPr>
          <w:rFonts w:ascii="Arial" w:hAnsi="Arial" w:cs="Arial"/>
          <w:sz w:val="20"/>
          <w:szCs w:val="20"/>
        </w:rPr>
        <w:t>A&amp;M</w:t>
      </w:r>
      <w:proofErr w:type="gramEnd"/>
      <w:r w:rsidRPr="004542E9">
        <w:rPr>
          <w:rFonts w:ascii="Arial" w:hAnsi="Arial" w:cs="Arial"/>
          <w:sz w:val="20"/>
          <w:szCs w:val="20"/>
        </w:rPr>
        <w:t xml:space="preserve"> University (WTAMU) has a new federally negotiated Facilities and Administrative (F&amp;A) rate (i.e., indirect cost) agreement effective September 1, 20</w:t>
      </w:r>
      <w:r w:rsidR="00557AEA">
        <w:rPr>
          <w:rFonts w:ascii="Arial" w:hAnsi="Arial" w:cs="Arial"/>
          <w:sz w:val="20"/>
          <w:szCs w:val="20"/>
        </w:rPr>
        <w:t>20</w:t>
      </w:r>
      <w:r w:rsidRPr="004542E9">
        <w:rPr>
          <w:rFonts w:ascii="Arial" w:hAnsi="Arial" w:cs="Arial"/>
          <w:sz w:val="20"/>
          <w:szCs w:val="20"/>
        </w:rPr>
        <w:t xml:space="preserve">.  The new federal on-campus rate </w:t>
      </w:r>
      <w:r w:rsidR="00557AEA">
        <w:rPr>
          <w:rFonts w:ascii="Arial" w:hAnsi="Arial" w:cs="Arial"/>
          <w:sz w:val="20"/>
          <w:szCs w:val="20"/>
        </w:rPr>
        <w:t>is</w:t>
      </w:r>
      <w:r w:rsidRPr="004542E9">
        <w:rPr>
          <w:rFonts w:ascii="Arial" w:hAnsi="Arial" w:cs="Arial"/>
          <w:sz w:val="20"/>
          <w:szCs w:val="20"/>
        </w:rPr>
        <w:t xml:space="preserve"> </w:t>
      </w:r>
      <w:r w:rsidR="00557AEA">
        <w:rPr>
          <w:rFonts w:ascii="Arial" w:hAnsi="Arial" w:cs="Arial"/>
          <w:sz w:val="20"/>
          <w:szCs w:val="20"/>
        </w:rPr>
        <w:t>41</w:t>
      </w:r>
      <w:r w:rsidRPr="004542E9">
        <w:rPr>
          <w:rFonts w:ascii="Arial" w:hAnsi="Arial" w:cs="Arial"/>
          <w:sz w:val="20"/>
          <w:szCs w:val="20"/>
        </w:rPr>
        <w:t xml:space="preserve">% </w:t>
      </w:r>
      <w:r w:rsidR="00557AEA">
        <w:rPr>
          <w:rFonts w:ascii="Arial" w:hAnsi="Arial" w:cs="Arial"/>
          <w:sz w:val="20"/>
          <w:szCs w:val="20"/>
        </w:rPr>
        <w:t xml:space="preserve">Modified Total Direct Cost (MTDC) and the off-campus rate is 11% MTDC.  </w:t>
      </w:r>
      <w:r w:rsidRPr="004542E9">
        <w:rPr>
          <w:rFonts w:ascii="Arial" w:hAnsi="Arial" w:cs="Arial"/>
          <w:sz w:val="20"/>
          <w:szCs w:val="20"/>
        </w:rPr>
        <w:t xml:space="preserve">    </w:t>
      </w:r>
    </w:p>
    <w:p w:rsidR="004542E9" w:rsidRDefault="004542E9" w:rsidP="00BF63F1">
      <w:pPr>
        <w:jc w:val="both"/>
        <w:rPr>
          <w:rFonts w:ascii="Arial" w:hAnsi="Arial" w:cs="Arial"/>
          <w:sz w:val="20"/>
          <w:szCs w:val="20"/>
        </w:rPr>
      </w:pPr>
      <w:bookmarkStart w:id="0" w:name="_GoBack"/>
    </w:p>
    <w:bookmarkEnd w:id="0"/>
    <w:p w:rsidR="00BF63F1" w:rsidRPr="004542E9" w:rsidRDefault="00BF63F1" w:rsidP="00BF63F1">
      <w:pPr>
        <w:jc w:val="both"/>
        <w:rPr>
          <w:rFonts w:ascii="Arial" w:hAnsi="Arial" w:cs="Arial"/>
          <w:sz w:val="20"/>
          <w:szCs w:val="20"/>
        </w:rPr>
      </w:pPr>
    </w:p>
    <w:p w:rsidR="004542E9" w:rsidRPr="004542E9" w:rsidRDefault="004542E9" w:rsidP="00BF63F1">
      <w:pPr>
        <w:jc w:val="both"/>
        <w:rPr>
          <w:rFonts w:ascii="Arial" w:hAnsi="Arial" w:cs="Arial"/>
          <w:sz w:val="20"/>
          <w:szCs w:val="20"/>
        </w:rPr>
      </w:pPr>
    </w:p>
    <w:p w:rsidR="001B1618" w:rsidRDefault="004542E9" w:rsidP="00BF63F1">
      <w:pPr>
        <w:pStyle w:val="ListParagraph"/>
        <w:numPr>
          <w:ilvl w:val="0"/>
          <w:numId w:val="8"/>
        </w:numPr>
        <w:spacing w:after="0" w:line="240" w:lineRule="auto"/>
        <w:jc w:val="both"/>
        <w:rPr>
          <w:rFonts w:ascii="Arial" w:hAnsi="Arial" w:cs="Arial"/>
          <w:b/>
          <w:i/>
          <w:sz w:val="20"/>
          <w:szCs w:val="20"/>
        </w:rPr>
      </w:pPr>
      <w:r w:rsidRPr="001B1618">
        <w:rPr>
          <w:rFonts w:ascii="Arial" w:hAnsi="Arial" w:cs="Arial"/>
          <w:b/>
          <w:i/>
          <w:sz w:val="20"/>
          <w:szCs w:val="20"/>
        </w:rPr>
        <w:t>How will the new rate be applied to budgets?</w:t>
      </w:r>
    </w:p>
    <w:p w:rsidR="001B1618" w:rsidRPr="001B1618" w:rsidRDefault="001B1618" w:rsidP="00BF63F1">
      <w:pPr>
        <w:ind w:left="360"/>
        <w:jc w:val="both"/>
        <w:rPr>
          <w:rFonts w:ascii="Arial" w:hAnsi="Arial" w:cs="Arial"/>
          <w:b/>
          <w:i/>
          <w:sz w:val="20"/>
          <w:szCs w:val="20"/>
        </w:rPr>
      </w:pPr>
    </w:p>
    <w:p w:rsidR="004542E9" w:rsidRPr="001B1618" w:rsidRDefault="004542E9" w:rsidP="00BF63F1">
      <w:pPr>
        <w:pStyle w:val="ListParagraph"/>
        <w:numPr>
          <w:ilvl w:val="0"/>
          <w:numId w:val="10"/>
        </w:numPr>
        <w:spacing w:after="0" w:line="240" w:lineRule="auto"/>
        <w:jc w:val="both"/>
        <w:rPr>
          <w:rFonts w:ascii="Arial" w:hAnsi="Arial" w:cs="Arial"/>
          <w:sz w:val="20"/>
          <w:szCs w:val="20"/>
        </w:rPr>
      </w:pPr>
      <w:r w:rsidRPr="001B1618">
        <w:rPr>
          <w:rFonts w:ascii="Arial" w:hAnsi="Arial" w:cs="Arial"/>
          <w:sz w:val="20"/>
          <w:szCs w:val="20"/>
        </w:rPr>
        <w:t>All new budgets and proposals with a start date of 9/1/20</w:t>
      </w:r>
      <w:r w:rsidR="00557AEA" w:rsidRPr="001B1618">
        <w:rPr>
          <w:rFonts w:ascii="Arial" w:hAnsi="Arial" w:cs="Arial"/>
          <w:sz w:val="20"/>
          <w:szCs w:val="20"/>
        </w:rPr>
        <w:t>20</w:t>
      </w:r>
      <w:r w:rsidRPr="001B1618">
        <w:rPr>
          <w:rFonts w:ascii="Arial" w:hAnsi="Arial" w:cs="Arial"/>
          <w:sz w:val="20"/>
          <w:szCs w:val="20"/>
        </w:rPr>
        <w:t xml:space="preserve"> or later will have the new rate applied. </w:t>
      </w:r>
    </w:p>
    <w:p w:rsidR="004542E9" w:rsidRPr="001B1618" w:rsidRDefault="004542E9" w:rsidP="00BF63F1">
      <w:pPr>
        <w:pStyle w:val="ListParagraph"/>
        <w:numPr>
          <w:ilvl w:val="0"/>
          <w:numId w:val="10"/>
        </w:numPr>
        <w:spacing w:after="0" w:line="240" w:lineRule="auto"/>
        <w:jc w:val="both"/>
        <w:rPr>
          <w:rFonts w:ascii="Arial" w:hAnsi="Arial" w:cs="Arial"/>
          <w:sz w:val="20"/>
          <w:szCs w:val="20"/>
        </w:rPr>
      </w:pPr>
      <w:r w:rsidRPr="001B1618">
        <w:rPr>
          <w:rFonts w:ascii="Arial" w:hAnsi="Arial" w:cs="Arial"/>
          <w:sz w:val="20"/>
          <w:szCs w:val="20"/>
        </w:rPr>
        <w:t>Proposals and budgets that have already been submitted will carry the old F&amp;A rate (</w:t>
      </w:r>
      <w:r w:rsidR="00AA7615" w:rsidRPr="001B1618">
        <w:rPr>
          <w:rFonts w:ascii="Arial" w:hAnsi="Arial" w:cs="Arial"/>
          <w:sz w:val="20"/>
          <w:szCs w:val="20"/>
        </w:rPr>
        <w:t xml:space="preserve">39% MTDC </w:t>
      </w:r>
      <w:r w:rsidR="0042104C">
        <w:rPr>
          <w:rFonts w:ascii="Arial" w:hAnsi="Arial" w:cs="Arial"/>
          <w:sz w:val="20"/>
          <w:szCs w:val="20"/>
        </w:rPr>
        <w:t xml:space="preserve">or </w:t>
      </w:r>
      <w:r w:rsidR="00AA7615" w:rsidRPr="001B1618">
        <w:rPr>
          <w:rFonts w:ascii="Arial" w:hAnsi="Arial" w:cs="Arial"/>
          <w:sz w:val="20"/>
          <w:szCs w:val="20"/>
        </w:rPr>
        <w:t>12% MTDC</w:t>
      </w:r>
      <w:r w:rsidRPr="001B1618">
        <w:rPr>
          <w:rFonts w:ascii="Arial" w:hAnsi="Arial" w:cs="Arial"/>
          <w:sz w:val="20"/>
          <w:szCs w:val="20"/>
        </w:rPr>
        <w:t xml:space="preserve">) </w:t>
      </w:r>
      <w:r w:rsidRPr="0042104C">
        <w:rPr>
          <w:rFonts w:ascii="Arial" w:hAnsi="Arial" w:cs="Arial"/>
          <w:sz w:val="20"/>
          <w:szCs w:val="20"/>
          <w:u w:val="single"/>
        </w:rPr>
        <w:t>unless</w:t>
      </w:r>
      <w:r w:rsidRPr="001B1618">
        <w:rPr>
          <w:rFonts w:ascii="Arial" w:hAnsi="Arial" w:cs="Arial"/>
          <w:sz w:val="20"/>
          <w:szCs w:val="20"/>
        </w:rPr>
        <w:t xml:space="preserve"> the awardi</w:t>
      </w:r>
      <w:r w:rsidR="0042104C">
        <w:rPr>
          <w:rFonts w:ascii="Arial" w:hAnsi="Arial" w:cs="Arial"/>
          <w:sz w:val="20"/>
          <w:szCs w:val="20"/>
        </w:rPr>
        <w:t>ng agency asks for the submission</w:t>
      </w:r>
      <w:r w:rsidRPr="001B1618">
        <w:rPr>
          <w:rFonts w:ascii="Arial" w:hAnsi="Arial" w:cs="Arial"/>
          <w:sz w:val="20"/>
          <w:szCs w:val="20"/>
        </w:rPr>
        <w:t xml:space="preserve"> of a revised budget prior to awarding the requested dollars.  </w:t>
      </w:r>
    </w:p>
    <w:p w:rsidR="004542E9" w:rsidRPr="001B1618" w:rsidRDefault="004542E9" w:rsidP="00BF63F1">
      <w:pPr>
        <w:pStyle w:val="ListParagraph"/>
        <w:numPr>
          <w:ilvl w:val="0"/>
          <w:numId w:val="10"/>
        </w:numPr>
        <w:spacing w:after="0" w:line="240" w:lineRule="auto"/>
        <w:jc w:val="both"/>
        <w:rPr>
          <w:rFonts w:ascii="Arial" w:hAnsi="Arial" w:cs="Arial"/>
          <w:sz w:val="20"/>
          <w:szCs w:val="20"/>
        </w:rPr>
      </w:pPr>
      <w:r w:rsidRPr="001B1618">
        <w:rPr>
          <w:rFonts w:ascii="Arial" w:hAnsi="Arial" w:cs="Arial"/>
          <w:sz w:val="20"/>
          <w:szCs w:val="20"/>
        </w:rPr>
        <w:t>All requests for supplemental funding for projects already awarded will use the new F&amp;A rate</w:t>
      </w:r>
      <w:r w:rsidR="001B1618" w:rsidRPr="001B1618">
        <w:rPr>
          <w:rFonts w:ascii="Arial" w:hAnsi="Arial" w:cs="Arial"/>
          <w:sz w:val="20"/>
          <w:szCs w:val="20"/>
        </w:rPr>
        <w:t>s</w:t>
      </w:r>
      <w:r w:rsidRPr="001B1618">
        <w:rPr>
          <w:rFonts w:ascii="Arial" w:hAnsi="Arial" w:cs="Arial"/>
          <w:sz w:val="20"/>
          <w:szCs w:val="20"/>
        </w:rPr>
        <w:t>.</w:t>
      </w:r>
    </w:p>
    <w:p w:rsidR="004542E9" w:rsidRDefault="004542E9" w:rsidP="00BF63F1">
      <w:pPr>
        <w:pStyle w:val="ListParagraph"/>
        <w:spacing w:after="0" w:line="240" w:lineRule="auto"/>
        <w:jc w:val="both"/>
        <w:rPr>
          <w:rFonts w:ascii="Arial" w:hAnsi="Arial" w:cs="Arial"/>
          <w:i/>
          <w:sz w:val="20"/>
          <w:szCs w:val="20"/>
        </w:rPr>
      </w:pPr>
    </w:p>
    <w:p w:rsidR="00BF63F1" w:rsidRPr="004542E9" w:rsidRDefault="00BF63F1" w:rsidP="00BF63F1">
      <w:pPr>
        <w:pStyle w:val="ListParagraph"/>
        <w:spacing w:after="0" w:line="240" w:lineRule="auto"/>
        <w:jc w:val="both"/>
        <w:rPr>
          <w:rFonts w:ascii="Arial" w:hAnsi="Arial" w:cs="Arial"/>
          <w:i/>
          <w:sz w:val="20"/>
          <w:szCs w:val="20"/>
        </w:rPr>
      </w:pPr>
    </w:p>
    <w:p w:rsidR="001B1618" w:rsidRPr="00402CAC" w:rsidRDefault="001B1618" w:rsidP="00BF63F1">
      <w:pPr>
        <w:pStyle w:val="ListParagraph"/>
        <w:numPr>
          <w:ilvl w:val="0"/>
          <w:numId w:val="8"/>
        </w:numPr>
        <w:jc w:val="both"/>
        <w:rPr>
          <w:rFonts w:ascii="Arial" w:hAnsi="Arial" w:cs="Arial"/>
          <w:b/>
          <w:i/>
          <w:sz w:val="20"/>
          <w:szCs w:val="20"/>
        </w:rPr>
      </w:pPr>
      <w:r w:rsidRPr="00402CAC">
        <w:rPr>
          <w:rFonts w:ascii="Arial" w:hAnsi="Arial" w:cs="Arial"/>
          <w:b/>
          <w:i/>
          <w:sz w:val="20"/>
          <w:szCs w:val="20"/>
        </w:rPr>
        <w:t>What projects qualify for the off-campus rate?</w:t>
      </w:r>
    </w:p>
    <w:p w:rsidR="001B1618" w:rsidRPr="001B1618" w:rsidRDefault="001B1618" w:rsidP="00BF63F1">
      <w:pPr>
        <w:ind w:left="720"/>
        <w:jc w:val="both"/>
        <w:rPr>
          <w:rFonts w:ascii="Arial" w:hAnsi="Arial" w:cs="Arial"/>
          <w:sz w:val="20"/>
          <w:szCs w:val="20"/>
        </w:rPr>
      </w:pPr>
      <w:r>
        <w:rPr>
          <w:rFonts w:ascii="Arial" w:hAnsi="Arial" w:cs="Arial"/>
          <w:sz w:val="20"/>
          <w:szCs w:val="20"/>
        </w:rPr>
        <w:t xml:space="preserve">The activity </w:t>
      </w:r>
      <w:r w:rsidR="00402CAC">
        <w:rPr>
          <w:rFonts w:ascii="Arial" w:hAnsi="Arial" w:cs="Arial"/>
          <w:sz w:val="20"/>
          <w:szCs w:val="20"/>
        </w:rPr>
        <w:t xml:space="preserve">is </w:t>
      </w:r>
      <w:r>
        <w:rPr>
          <w:rFonts w:ascii="Arial" w:hAnsi="Arial" w:cs="Arial"/>
          <w:sz w:val="20"/>
          <w:szCs w:val="20"/>
        </w:rPr>
        <w:t xml:space="preserve">performed in facilities not owned by WTAMU </w:t>
      </w:r>
      <w:r w:rsidRPr="00402CAC">
        <w:rPr>
          <w:rFonts w:ascii="Arial" w:hAnsi="Arial" w:cs="Arial"/>
          <w:b/>
          <w:sz w:val="20"/>
          <w:szCs w:val="20"/>
          <w:u w:val="single"/>
        </w:rPr>
        <w:t>and</w:t>
      </w:r>
      <w:r>
        <w:rPr>
          <w:rFonts w:ascii="Arial" w:hAnsi="Arial" w:cs="Arial"/>
          <w:sz w:val="20"/>
          <w:szCs w:val="20"/>
        </w:rPr>
        <w:t xml:space="preserve"> </w:t>
      </w:r>
      <w:r w:rsidR="00402CAC">
        <w:rPr>
          <w:rFonts w:ascii="Arial" w:hAnsi="Arial" w:cs="Arial"/>
          <w:sz w:val="20"/>
          <w:szCs w:val="20"/>
        </w:rPr>
        <w:t>rent must be allocated to the project.  Actual costs will be apportioned between on-campus and off-campus components and each portion of the project will reflect the appropriate rate.</w:t>
      </w:r>
    </w:p>
    <w:p w:rsidR="001B1618" w:rsidRPr="00402CAC" w:rsidRDefault="001B1618" w:rsidP="00BF63F1">
      <w:pPr>
        <w:ind w:left="360"/>
        <w:jc w:val="both"/>
        <w:rPr>
          <w:rFonts w:ascii="Arial" w:hAnsi="Arial" w:cs="Arial"/>
          <w:i/>
          <w:sz w:val="20"/>
          <w:szCs w:val="20"/>
        </w:rPr>
      </w:pPr>
    </w:p>
    <w:p w:rsidR="001B1618" w:rsidRPr="00402CAC" w:rsidRDefault="001B1618" w:rsidP="00BF63F1">
      <w:pPr>
        <w:ind w:left="360"/>
        <w:jc w:val="both"/>
        <w:rPr>
          <w:rFonts w:ascii="Arial" w:hAnsi="Arial" w:cs="Arial"/>
          <w:i/>
          <w:sz w:val="20"/>
          <w:szCs w:val="20"/>
        </w:rPr>
      </w:pPr>
    </w:p>
    <w:p w:rsidR="004542E9" w:rsidRPr="00402CAC" w:rsidRDefault="004542E9" w:rsidP="00BF63F1">
      <w:pPr>
        <w:pStyle w:val="ListParagraph"/>
        <w:numPr>
          <w:ilvl w:val="0"/>
          <w:numId w:val="8"/>
        </w:numPr>
        <w:spacing w:line="240" w:lineRule="auto"/>
        <w:jc w:val="both"/>
        <w:rPr>
          <w:rFonts w:ascii="Arial" w:hAnsi="Arial" w:cs="Arial"/>
          <w:b/>
          <w:i/>
          <w:sz w:val="20"/>
          <w:szCs w:val="20"/>
        </w:rPr>
      </w:pPr>
      <w:r w:rsidRPr="00402CAC">
        <w:rPr>
          <w:rFonts w:ascii="Arial" w:hAnsi="Arial" w:cs="Arial"/>
          <w:b/>
          <w:i/>
          <w:sz w:val="20"/>
          <w:szCs w:val="20"/>
        </w:rPr>
        <w:t>Do F&amp;A rates only apply to federal awarding agencies?</w:t>
      </w:r>
    </w:p>
    <w:p w:rsidR="004542E9" w:rsidRDefault="004542E9" w:rsidP="00BF63F1">
      <w:pPr>
        <w:ind w:left="720"/>
        <w:jc w:val="both"/>
        <w:rPr>
          <w:rFonts w:ascii="Arial" w:hAnsi="Arial" w:cs="Arial"/>
          <w:sz w:val="20"/>
          <w:szCs w:val="20"/>
        </w:rPr>
      </w:pPr>
      <w:r w:rsidRPr="004542E9">
        <w:rPr>
          <w:rFonts w:ascii="Arial" w:hAnsi="Arial" w:cs="Arial"/>
          <w:sz w:val="20"/>
          <w:szCs w:val="20"/>
        </w:rPr>
        <w:t xml:space="preserve">No, they apply to all externally funded projects.  </w:t>
      </w:r>
      <w:r w:rsidRPr="004542E9">
        <w:rPr>
          <w:rFonts w:ascii="Arial" w:hAnsi="Arial" w:cs="Arial"/>
          <w:i/>
          <w:sz w:val="20"/>
          <w:szCs w:val="20"/>
        </w:rPr>
        <w:t xml:space="preserve">System Policy 15.01.01 Administration of Sponsored Agreements – Research and Other </w:t>
      </w:r>
      <w:r w:rsidRPr="004542E9">
        <w:rPr>
          <w:rFonts w:ascii="Arial" w:hAnsi="Arial" w:cs="Arial"/>
          <w:sz w:val="20"/>
          <w:szCs w:val="20"/>
        </w:rPr>
        <w:t xml:space="preserve">instructs system members to recover all F&amp;A costs, based on rates negotiated with the Department of Health and Human Services (DHHS).  The policy also requires agreements with private business organizations to provide for F&amp;A cost recovery at the rates negotiated by the system with the DHHS unless there is suitable compensation made for the difference between the F&amp;A recovery and the negotiated F&amp;A rate.  As a state entity the system and all member institutions are entrusted with the use of public funds, facilities, and other property for the welfare of the public.  Those assets cannot be diverted to serve the specific interests of a private firm or individual unless the costs of use are reimbursed.  </w:t>
      </w:r>
    </w:p>
    <w:p w:rsidR="004542E9" w:rsidRDefault="004542E9" w:rsidP="00BF63F1">
      <w:pPr>
        <w:jc w:val="both"/>
        <w:rPr>
          <w:rFonts w:ascii="Arial" w:hAnsi="Arial" w:cs="Arial"/>
          <w:sz w:val="20"/>
          <w:szCs w:val="20"/>
        </w:rPr>
      </w:pPr>
    </w:p>
    <w:p w:rsidR="00BF63F1" w:rsidRPr="004542E9" w:rsidRDefault="00BF63F1" w:rsidP="00BF63F1">
      <w:pPr>
        <w:jc w:val="both"/>
        <w:rPr>
          <w:rFonts w:ascii="Arial" w:hAnsi="Arial" w:cs="Arial"/>
          <w:sz w:val="20"/>
          <w:szCs w:val="20"/>
        </w:rPr>
      </w:pPr>
    </w:p>
    <w:p w:rsidR="004542E9" w:rsidRPr="00402CAC" w:rsidRDefault="004542E9" w:rsidP="00BF63F1">
      <w:pPr>
        <w:pStyle w:val="ListParagraph"/>
        <w:numPr>
          <w:ilvl w:val="0"/>
          <w:numId w:val="8"/>
        </w:numPr>
        <w:spacing w:line="240" w:lineRule="auto"/>
        <w:jc w:val="both"/>
        <w:rPr>
          <w:rFonts w:ascii="Arial" w:hAnsi="Arial" w:cs="Arial"/>
          <w:b/>
          <w:i/>
          <w:sz w:val="20"/>
          <w:szCs w:val="20"/>
        </w:rPr>
      </w:pPr>
      <w:r w:rsidRPr="00402CAC">
        <w:rPr>
          <w:rFonts w:ascii="Arial" w:hAnsi="Arial" w:cs="Arial"/>
          <w:b/>
          <w:i/>
          <w:sz w:val="20"/>
          <w:szCs w:val="20"/>
        </w:rPr>
        <w:t>What are the effective dates for the new F&amp;A rates?</w:t>
      </w:r>
    </w:p>
    <w:p w:rsidR="004542E9" w:rsidRPr="00402CAC" w:rsidRDefault="004542E9" w:rsidP="00BF63F1">
      <w:pPr>
        <w:ind w:left="720"/>
        <w:jc w:val="both"/>
        <w:rPr>
          <w:rFonts w:ascii="Arial" w:hAnsi="Arial" w:cs="Arial"/>
          <w:bCs/>
          <w:sz w:val="20"/>
          <w:szCs w:val="20"/>
        </w:rPr>
      </w:pPr>
      <w:r w:rsidRPr="004542E9">
        <w:rPr>
          <w:rFonts w:ascii="Arial" w:hAnsi="Arial" w:cs="Arial"/>
          <w:sz w:val="20"/>
          <w:szCs w:val="20"/>
        </w:rPr>
        <w:t>The predetermined rates are effective for September 1, 20</w:t>
      </w:r>
      <w:r w:rsidR="00402CAC">
        <w:rPr>
          <w:rFonts w:ascii="Arial" w:hAnsi="Arial" w:cs="Arial"/>
          <w:sz w:val="20"/>
          <w:szCs w:val="20"/>
        </w:rPr>
        <w:t>20</w:t>
      </w:r>
      <w:r w:rsidRPr="004542E9">
        <w:rPr>
          <w:rFonts w:ascii="Arial" w:hAnsi="Arial" w:cs="Arial"/>
          <w:sz w:val="20"/>
          <w:szCs w:val="20"/>
        </w:rPr>
        <w:t xml:space="preserve"> through August 31, 20</w:t>
      </w:r>
      <w:r w:rsidR="00402CAC">
        <w:rPr>
          <w:rFonts w:ascii="Arial" w:hAnsi="Arial" w:cs="Arial"/>
          <w:sz w:val="20"/>
          <w:szCs w:val="20"/>
        </w:rPr>
        <w:t>24</w:t>
      </w:r>
      <w:r w:rsidRPr="004542E9">
        <w:rPr>
          <w:rFonts w:ascii="Arial" w:hAnsi="Arial" w:cs="Arial"/>
          <w:sz w:val="20"/>
          <w:szCs w:val="20"/>
        </w:rPr>
        <w:t>.  If WTAMU does not have an updated F&amp;A rate agreement by September 1, 20</w:t>
      </w:r>
      <w:r w:rsidR="00402CAC">
        <w:rPr>
          <w:rFonts w:ascii="Arial" w:hAnsi="Arial" w:cs="Arial"/>
          <w:sz w:val="20"/>
          <w:szCs w:val="20"/>
        </w:rPr>
        <w:t>24</w:t>
      </w:r>
      <w:r w:rsidRPr="004542E9">
        <w:rPr>
          <w:rFonts w:ascii="Arial" w:hAnsi="Arial" w:cs="Arial"/>
          <w:sz w:val="20"/>
          <w:szCs w:val="20"/>
        </w:rPr>
        <w:t xml:space="preserve"> the same rates will apply until they are amended</w:t>
      </w:r>
      <w:r w:rsidRPr="00402CAC">
        <w:rPr>
          <w:rFonts w:ascii="Arial" w:hAnsi="Arial" w:cs="Arial"/>
          <w:sz w:val="20"/>
          <w:szCs w:val="20"/>
        </w:rPr>
        <w:t>.</w:t>
      </w:r>
      <w:r w:rsidR="00402CAC" w:rsidRPr="00402CAC">
        <w:rPr>
          <w:rFonts w:ascii="Arial" w:hAnsi="Arial" w:cs="Arial"/>
          <w:sz w:val="20"/>
          <w:szCs w:val="20"/>
        </w:rPr>
        <w:t xml:space="preserve">  </w:t>
      </w:r>
      <w:r w:rsidRPr="00402CAC">
        <w:rPr>
          <w:rFonts w:ascii="Arial" w:hAnsi="Arial" w:cs="Arial"/>
          <w:sz w:val="20"/>
          <w:szCs w:val="20"/>
        </w:rPr>
        <w:t xml:space="preserve">For questions concerning how to apply the rates to a budget please call </w:t>
      </w:r>
      <w:r w:rsidR="00402CAC" w:rsidRPr="00402CAC">
        <w:rPr>
          <w:rFonts w:ascii="Arial" w:hAnsi="Arial" w:cs="Arial"/>
          <w:sz w:val="20"/>
          <w:szCs w:val="20"/>
        </w:rPr>
        <w:t xml:space="preserve">Teresa Clemons / 651-2983 </w:t>
      </w:r>
      <w:r w:rsidRPr="00402CAC">
        <w:rPr>
          <w:rFonts w:ascii="Arial" w:hAnsi="Arial" w:cs="Arial"/>
          <w:sz w:val="20"/>
          <w:szCs w:val="20"/>
        </w:rPr>
        <w:t xml:space="preserve">in Sponsored Research Services. Post award and billing questions regarding the new rate can be answered by </w:t>
      </w:r>
      <w:r w:rsidR="00402CAC" w:rsidRPr="00402CAC">
        <w:rPr>
          <w:rFonts w:ascii="Arial" w:hAnsi="Arial" w:cs="Arial"/>
          <w:sz w:val="20"/>
          <w:szCs w:val="20"/>
        </w:rPr>
        <w:t xml:space="preserve">Candace Rowland </w:t>
      </w:r>
      <w:r w:rsidRPr="00402CAC">
        <w:rPr>
          <w:rFonts w:ascii="Arial" w:hAnsi="Arial" w:cs="Arial"/>
          <w:sz w:val="20"/>
          <w:szCs w:val="20"/>
        </w:rPr>
        <w:t>/</w:t>
      </w:r>
      <w:r w:rsidR="00402CAC" w:rsidRPr="00402CAC">
        <w:rPr>
          <w:rFonts w:ascii="Arial" w:hAnsi="Arial" w:cs="Arial"/>
          <w:sz w:val="20"/>
          <w:szCs w:val="20"/>
        </w:rPr>
        <w:t xml:space="preserve"> </w:t>
      </w:r>
      <w:r w:rsidRPr="00402CAC">
        <w:rPr>
          <w:rFonts w:ascii="Arial" w:hAnsi="Arial" w:cs="Arial"/>
          <w:sz w:val="20"/>
          <w:szCs w:val="20"/>
        </w:rPr>
        <w:t>651-</w:t>
      </w:r>
      <w:r w:rsidR="00402CAC" w:rsidRPr="00402CAC">
        <w:rPr>
          <w:rFonts w:ascii="Arial" w:hAnsi="Arial" w:cs="Arial"/>
          <w:sz w:val="20"/>
          <w:szCs w:val="20"/>
        </w:rPr>
        <w:t>3354 or Lauren Cazarez / 651-2098</w:t>
      </w:r>
      <w:r w:rsidRPr="00402CAC">
        <w:rPr>
          <w:rFonts w:ascii="Arial" w:hAnsi="Arial" w:cs="Arial"/>
          <w:sz w:val="20"/>
          <w:szCs w:val="20"/>
        </w:rPr>
        <w:t xml:space="preserve"> in the Business Office</w:t>
      </w:r>
    </w:p>
    <w:sectPr w:rsidR="004542E9" w:rsidRPr="00402CAC" w:rsidSect="00A62352">
      <w:headerReference w:type="default" r:id="rId8"/>
      <w:footerReference w:type="default" r:id="rId9"/>
      <w:pgSz w:w="12240" w:h="15840" w:code="1"/>
      <w:pgMar w:top="864" w:right="864"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29D" w:rsidRDefault="0019329D">
      <w:r>
        <w:separator/>
      </w:r>
    </w:p>
  </w:endnote>
  <w:endnote w:type="continuationSeparator" w:id="0">
    <w:p w:rsidR="0019329D" w:rsidRDefault="0019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9D" w:rsidRDefault="0019329D">
    <w:pPr>
      <w:pStyle w:val="Footer"/>
    </w:pPr>
    <w:r>
      <w:rPr>
        <w:noProof/>
      </w:rPr>
      <w:drawing>
        <wp:anchor distT="0" distB="0" distL="114300" distR="114300" simplePos="0" relativeHeight="251657728" behindDoc="1" locked="0" layoutInCell="1" allowOverlap="1" wp14:anchorId="7E70BDAF" wp14:editId="4629DF08">
          <wp:simplePos x="0" y="0"/>
          <wp:positionH relativeFrom="column">
            <wp:posOffset>2171700</wp:posOffset>
          </wp:positionH>
          <wp:positionV relativeFrom="paragraph">
            <wp:posOffset>-30480</wp:posOffset>
          </wp:positionV>
          <wp:extent cx="1943100" cy="309880"/>
          <wp:effectExtent l="19050" t="0" r="0" b="0"/>
          <wp:wrapNone/>
          <wp:docPr id="2" name="Picture 2" descr="http://www.wtamu.edu/news/guide/art/downloadable/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tamu.edu/news/guide/art/downloadable/tag.jpg"/>
                  <pic:cNvPicPr>
                    <a:picLocks noChangeAspect="1" noChangeArrowheads="1"/>
                  </pic:cNvPicPr>
                </pic:nvPicPr>
                <pic:blipFill>
                  <a:blip r:embed="rId1" r:link="rId2"/>
                  <a:srcRect/>
                  <a:stretch>
                    <a:fillRect/>
                  </a:stretch>
                </pic:blipFill>
                <pic:spPr bwMode="auto">
                  <a:xfrm>
                    <a:off x="0" y="0"/>
                    <a:ext cx="1943100" cy="309880"/>
                  </a:xfrm>
                  <a:prstGeom prst="rect">
                    <a:avLst/>
                  </a:prstGeom>
                  <a:noFill/>
                  <a:ln w="9525">
                    <a:noFill/>
                    <a:miter lim="800000"/>
                    <a:headEnd/>
                    <a:tailEnd/>
                  </a:ln>
                </pic:spPr>
              </pic:pic>
            </a:graphicData>
          </a:graphic>
        </wp:anchor>
      </w:drawing>
    </w:r>
  </w:p>
  <w:p w:rsidR="0019329D" w:rsidRDefault="0019329D" w:rsidP="00640C87">
    <w:pPr>
      <w:ind w:left="-180"/>
      <w:jc w:val="center"/>
      <w:rPr>
        <w:rFonts w:ascii="Helvetica" w:hAnsi="Helvetica"/>
        <w:sz w:val="16"/>
        <w:szCs w:val="16"/>
      </w:rPr>
    </w:pPr>
  </w:p>
  <w:p w:rsidR="0019329D" w:rsidRDefault="0019329D" w:rsidP="00640C87">
    <w:pPr>
      <w:ind w:left="-180"/>
      <w:jc w:val="center"/>
      <w:rPr>
        <w:rFonts w:ascii="Helvetica" w:hAnsi="Helvetica"/>
        <w:sz w:val="16"/>
        <w:szCs w:val="16"/>
      </w:rPr>
    </w:pPr>
  </w:p>
  <w:p w:rsidR="0019329D" w:rsidRDefault="0019329D" w:rsidP="00BF63F1">
    <w:pPr>
      <w:ind w:left="-180"/>
      <w:jc w:val="center"/>
    </w:pPr>
    <w:r w:rsidRPr="00740D22">
      <w:rPr>
        <w:rFonts w:ascii="Helvetica" w:hAnsi="Helvetica"/>
        <w:sz w:val="16"/>
        <w:szCs w:val="16"/>
      </w:rPr>
      <w:t>WTAMU Box 60</w:t>
    </w:r>
    <w:r>
      <w:rPr>
        <w:rFonts w:ascii="Helvetica" w:hAnsi="Helvetica"/>
        <w:sz w:val="16"/>
        <w:szCs w:val="16"/>
      </w:rPr>
      <w:t xml:space="preserve">217  </w:t>
    </w:r>
    <w:r w:rsidRPr="00740D22">
      <w:rPr>
        <w:rFonts w:ascii="Helvetica" w:hAnsi="Helvetica"/>
        <w:sz w:val="16"/>
        <w:szCs w:val="16"/>
      </w:rPr>
      <w:t xml:space="preserve"> </w:t>
    </w:r>
    <w:r>
      <w:rPr>
        <w:rFonts w:ascii="Helvetica" w:hAnsi="Helvetica"/>
        <w:sz w:val="16"/>
        <w:szCs w:val="16"/>
      </w:rPr>
      <w:t>•   2501 4</w:t>
    </w:r>
    <w:r w:rsidRPr="00106D4F">
      <w:rPr>
        <w:rFonts w:ascii="Helvetica" w:hAnsi="Helvetica"/>
        <w:sz w:val="16"/>
        <w:szCs w:val="16"/>
        <w:vertAlign w:val="superscript"/>
      </w:rPr>
      <w:t>th</w:t>
    </w:r>
    <w:r>
      <w:rPr>
        <w:rFonts w:ascii="Helvetica" w:hAnsi="Helvetica"/>
        <w:sz w:val="16"/>
        <w:szCs w:val="16"/>
      </w:rPr>
      <w:t xml:space="preserve"> Avenue  </w:t>
    </w:r>
    <w:r w:rsidRPr="00740D22">
      <w:rPr>
        <w:rFonts w:ascii="Helvetica" w:hAnsi="Helvetica"/>
        <w:sz w:val="16"/>
        <w:szCs w:val="16"/>
      </w:rPr>
      <w:t xml:space="preserve"> </w:t>
    </w:r>
    <w:r>
      <w:rPr>
        <w:rFonts w:ascii="Helvetica" w:hAnsi="Helvetica"/>
        <w:sz w:val="16"/>
        <w:szCs w:val="16"/>
      </w:rPr>
      <w:t xml:space="preserve">•   </w:t>
    </w:r>
    <w:r w:rsidRPr="00740D22">
      <w:rPr>
        <w:rFonts w:ascii="Helvetica" w:hAnsi="Helvetica"/>
        <w:sz w:val="16"/>
        <w:szCs w:val="16"/>
      </w:rPr>
      <w:t>Canyon, Texas 79016-</w:t>
    </w:r>
    <w:r w:rsidR="00BF63F1" w:rsidRPr="00740D22">
      <w:rPr>
        <w:rFonts w:ascii="Helvetica" w:hAnsi="Helvetica"/>
        <w:sz w:val="16"/>
        <w:szCs w:val="16"/>
      </w:rPr>
      <w:t>0001</w:t>
    </w:r>
    <w:r w:rsidR="00BF63F1">
      <w:rPr>
        <w:rFonts w:ascii="Helvetica" w:hAnsi="Helvetica"/>
        <w:sz w:val="16"/>
        <w:szCs w:val="16"/>
      </w:rPr>
      <w:t xml:space="preserve">   •</w:t>
    </w:r>
    <w:r>
      <w:rPr>
        <w:rFonts w:ascii="Helvetica" w:hAnsi="Helvetica"/>
        <w:sz w:val="16"/>
        <w:szCs w:val="16"/>
      </w:rPr>
      <w:t xml:space="preserve"> </w:t>
    </w:r>
    <w:r w:rsidR="00BF63F1">
      <w:rPr>
        <w:rFonts w:ascii="Helvetica" w:hAnsi="Helvetica"/>
        <w:sz w:val="16"/>
        <w:szCs w:val="16"/>
      </w:rPr>
      <w:t xml:space="preserve"> </w:t>
    </w:r>
    <w:r>
      <w:rPr>
        <w:rFonts w:ascii="Helvetica" w:hAnsi="Helvetica"/>
        <w:sz w:val="16"/>
        <w:szCs w:val="16"/>
      </w:rPr>
      <w:t xml:space="preserve">  w</w:t>
    </w:r>
    <w:r w:rsidRPr="00740D22">
      <w:rPr>
        <w:rFonts w:ascii="Helvetica" w:hAnsi="Helvetica"/>
        <w:sz w:val="16"/>
        <w:szCs w:val="16"/>
      </w:rPr>
      <w:t>ww.wtamu.edu</w:t>
    </w:r>
    <w:r w:rsidR="00BF63F1">
      <w:rPr>
        <w:rFonts w:ascii="Helvetica" w:hAnsi="Helvetica"/>
        <w:sz w:val="16"/>
        <w:szCs w:val="16"/>
      </w:rPr>
      <w:t>/srs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29D" w:rsidRDefault="0019329D">
      <w:r>
        <w:separator/>
      </w:r>
    </w:p>
  </w:footnote>
  <w:footnote w:type="continuationSeparator" w:id="0">
    <w:p w:rsidR="0019329D" w:rsidRDefault="00193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29D" w:rsidRDefault="0019329D">
    <w:pPr>
      <w:pStyle w:val="Header"/>
    </w:pPr>
    <w:r>
      <w:rPr>
        <w:noProof/>
      </w:rPr>
      <w:drawing>
        <wp:anchor distT="0" distB="0" distL="114300" distR="114300" simplePos="0" relativeHeight="251656704" behindDoc="1" locked="0" layoutInCell="1" allowOverlap="1" wp14:anchorId="54C7D7CE" wp14:editId="11AEEAC2">
          <wp:simplePos x="0" y="0"/>
          <wp:positionH relativeFrom="column">
            <wp:posOffset>1143000</wp:posOffset>
          </wp:positionH>
          <wp:positionV relativeFrom="paragraph">
            <wp:posOffset>-45720</wp:posOffset>
          </wp:positionV>
          <wp:extent cx="3689985" cy="457200"/>
          <wp:effectExtent l="19050" t="0" r="5715" b="0"/>
          <wp:wrapNone/>
          <wp:docPr id="1" name="Picture 1" descr="http://www.wtamu.edu/news/guide/art/downloadable/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tamu.edu/news/guide/art/downloadable/hort.jpg"/>
                  <pic:cNvPicPr>
                    <a:picLocks noChangeAspect="1" noChangeArrowheads="1"/>
                  </pic:cNvPicPr>
                </pic:nvPicPr>
                <pic:blipFill>
                  <a:blip r:embed="rId1" r:link="rId2"/>
                  <a:srcRect/>
                  <a:stretch>
                    <a:fillRect/>
                  </a:stretch>
                </pic:blipFill>
                <pic:spPr bwMode="auto">
                  <a:xfrm>
                    <a:off x="0" y="0"/>
                    <a:ext cx="3689985" cy="457200"/>
                  </a:xfrm>
                  <a:prstGeom prst="rect">
                    <a:avLst/>
                  </a:prstGeom>
                  <a:noFill/>
                  <a:ln w="9525">
                    <a:noFill/>
                    <a:miter lim="800000"/>
                    <a:headEnd/>
                    <a:tailEnd/>
                  </a:ln>
                </pic:spPr>
              </pic:pic>
            </a:graphicData>
          </a:graphic>
        </wp:anchor>
      </w:drawing>
    </w:r>
  </w:p>
  <w:p w:rsidR="0019329D" w:rsidRDefault="0019329D" w:rsidP="00CB2A5F">
    <w:pPr>
      <w:jc w:val="center"/>
      <w:rPr>
        <w:rFonts w:ascii="Helvetica" w:hAnsi="Helvetica"/>
        <w:b/>
        <w:sz w:val="20"/>
        <w:szCs w:val="20"/>
      </w:rPr>
    </w:pPr>
  </w:p>
  <w:p w:rsidR="0019329D" w:rsidRDefault="0019329D" w:rsidP="00CB2A5F">
    <w:pPr>
      <w:jc w:val="center"/>
      <w:rPr>
        <w:rFonts w:ascii="Helvetica" w:hAnsi="Helvetica"/>
        <w:b/>
        <w:sz w:val="20"/>
        <w:szCs w:val="20"/>
      </w:rPr>
    </w:pPr>
  </w:p>
  <w:p w:rsidR="0019329D" w:rsidRPr="00C2524D" w:rsidRDefault="0019329D" w:rsidP="00CB2A5F">
    <w:pPr>
      <w:jc w:val="center"/>
      <w:rPr>
        <w:rFonts w:ascii="Helvetica" w:hAnsi="Helvetica"/>
        <w:b/>
        <w:sz w:val="20"/>
        <w:szCs w:val="20"/>
      </w:rPr>
    </w:pPr>
    <w:r>
      <w:rPr>
        <w:rFonts w:ascii="Helvetica" w:hAnsi="Helvetica"/>
        <w:b/>
        <w:sz w:val="20"/>
        <w:szCs w:val="20"/>
      </w:rPr>
      <w:t>Sponsored Research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556A"/>
    <w:multiLevelType w:val="hybridMultilevel"/>
    <w:tmpl w:val="0762787C"/>
    <w:lvl w:ilvl="0" w:tplc="F33AA0E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4730E"/>
    <w:multiLevelType w:val="hybridMultilevel"/>
    <w:tmpl w:val="DDF46948"/>
    <w:lvl w:ilvl="0" w:tplc="798C8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685A4F"/>
    <w:multiLevelType w:val="hybridMultilevel"/>
    <w:tmpl w:val="7C80DC2E"/>
    <w:lvl w:ilvl="0" w:tplc="79BECE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D3E28"/>
    <w:multiLevelType w:val="hybridMultilevel"/>
    <w:tmpl w:val="A3D8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33FEF"/>
    <w:multiLevelType w:val="hybridMultilevel"/>
    <w:tmpl w:val="CF8CC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412C7"/>
    <w:multiLevelType w:val="hybridMultilevel"/>
    <w:tmpl w:val="1F9E400C"/>
    <w:lvl w:ilvl="0" w:tplc="F33AA0E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F107E"/>
    <w:multiLevelType w:val="hybridMultilevel"/>
    <w:tmpl w:val="B828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34F43"/>
    <w:multiLevelType w:val="hybridMultilevel"/>
    <w:tmpl w:val="9EEC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3E6E8D"/>
    <w:multiLevelType w:val="hybridMultilevel"/>
    <w:tmpl w:val="DEDA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830CC4"/>
    <w:multiLevelType w:val="hybridMultilevel"/>
    <w:tmpl w:val="1F70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9"/>
  </w:num>
  <w:num w:numId="5">
    <w:abstractNumId w:val="8"/>
  </w:num>
  <w:num w:numId="6">
    <w:abstractNumId w:val="3"/>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B8"/>
    <w:rsid w:val="00053000"/>
    <w:rsid w:val="00055B78"/>
    <w:rsid w:val="000610A7"/>
    <w:rsid w:val="000878D2"/>
    <w:rsid w:val="000D26EA"/>
    <w:rsid w:val="000E1098"/>
    <w:rsid w:val="00106D4F"/>
    <w:rsid w:val="0019329D"/>
    <w:rsid w:val="00193FEC"/>
    <w:rsid w:val="001A3DFD"/>
    <w:rsid w:val="001B1359"/>
    <w:rsid w:val="001B1618"/>
    <w:rsid w:val="001C5140"/>
    <w:rsid w:val="001C6BB8"/>
    <w:rsid w:val="001F0DEC"/>
    <w:rsid w:val="00217AA4"/>
    <w:rsid w:val="00246425"/>
    <w:rsid w:val="002F549C"/>
    <w:rsid w:val="00310CE5"/>
    <w:rsid w:val="003255EF"/>
    <w:rsid w:val="00326CEC"/>
    <w:rsid w:val="003550F2"/>
    <w:rsid w:val="00357D58"/>
    <w:rsid w:val="003951EA"/>
    <w:rsid w:val="003A5D15"/>
    <w:rsid w:val="003C1D48"/>
    <w:rsid w:val="00402CAC"/>
    <w:rsid w:val="0042104C"/>
    <w:rsid w:val="00446AC0"/>
    <w:rsid w:val="004542E9"/>
    <w:rsid w:val="00477E5B"/>
    <w:rsid w:val="004E433A"/>
    <w:rsid w:val="00557AEA"/>
    <w:rsid w:val="00565DD0"/>
    <w:rsid w:val="0062469A"/>
    <w:rsid w:val="006328DA"/>
    <w:rsid w:val="00640C87"/>
    <w:rsid w:val="00694850"/>
    <w:rsid w:val="006B3AE6"/>
    <w:rsid w:val="006B409A"/>
    <w:rsid w:val="006E7D7A"/>
    <w:rsid w:val="00707FA4"/>
    <w:rsid w:val="00740D22"/>
    <w:rsid w:val="0078460F"/>
    <w:rsid w:val="00857509"/>
    <w:rsid w:val="00890228"/>
    <w:rsid w:val="00897142"/>
    <w:rsid w:val="008F757B"/>
    <w:rsid w:val="00936E60"/>
    <w:rsid w:val="00953064"/>
    <w:rsid w:val="009B5FAD"/>
    <w:rsid w:val="009F09DE"/>
    <w:rsid w:val="00A62352"/>
    <w:rsid w:val="00A63331"/>
    <w:rsid w:val="00AA7615"/>
    <w:rsid w:val="00AB5668"/>
    <w:rsid w:val="00AE250C"/>
    <w:rsid w:val="00B51B5A"/>
    <w:rsid w:val="00B5746E"/>
    <w:rsid w:val="00B8184E"/>
    <w:rsid w:val="00BD0B9D"/>
    <w:rsid w:val="00BF63F1"/>
    <w:rsid w:val="00C120B2"/>
    <w:rsid w:val="00C16DEB"/>
    <w:rsid w:val="00C170CE"/>
    <w:rsid w:val="00C2524D"/>
    <w:rsid w:val="00C31F60"/>
    <w:rsid w:val="00C458E0"/>
    <w:rsid w:val="00C939A1"/>
    <w:rsid w:val="00CB2A5F"/>
    <w:rsid w:val="00CB70A3"/>
    <w:rsid w:val="00D0611D"/>
    <w:rsid w:val="00D43D5B"/>
    <w:rsid w:val="00D55F86"/>
    <w:rsid w:val="00D864E7"/>
    <w:rsid w:val="00DC108F"/>
    <w:rsid w:val="00DD2663"/>
    <w:rsid w:val="00DE5186"/>
    <w:rsid w:val="00E30667"/>
    <w:rsid w:val="00EE124E"/>
    <w:rsid w:val="00F2314F"/>
    <w:rsid w:val="00F239B9"/>
    <w:rsid w:val="00F6075B"/>
    <w:rsid w:val="00FF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91EF80D"/>
  <w15:docId w15:val="{66825891-EA02-45D2-AEEC-B7A57ACC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0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40D22"/>
    <w:rPr>
      <w:rFonts w:ascii="Tahoma" w:hAnsi="Tahoma" w:cs="Tahoma"/>
      <w:sz w:val="16"/>
      <w:szCs w:val="16"/>
    </w:rPr>
  </w:style>
  <w:style w:type="character" w:styleId="Hyperlink">
    <w:name w:val="Hyperlink"/>
    <w:basedOn w:val="DefaultParagraphFont"/>
    <w:rsid w:val="00694850"/>
    <w:rPr>
      <w:color w:val="0000FF"/>
      <w:u w:val="single"/>
    </w:rPr>
  </w:style>
  <w:style w:type="paragraph" w:styleId="Header">
    <w:name w:val="header"/>
    <w:basedOn w:val="Normal"/>
    <w:rsid w:val="00CB2A5F"/>
    <w:pPr>
      <w:tabs>
        <w:tab w:val="center" w:pos="4320"/>
        <w:tab w:val="right" w:pos="8640"/>
      </w:tabs>
    </w:pPr>
  </w:style>
  <w:style w:type="paragraph" w:styleId="Footer">
    <w:name w:val="footer"/>
    <w:basedOn w:val="Normal"/>
    <w:rsid w:val="00CB2A5F"/>
    <w:pPr>
      <w:tabs>
        <w:tab w:val="center" w:pos="4320"/>
        <w:tab w:val="right" w:pos="8640"/>
      </w:tabs>
    </w:pPr>
  </w:style>
  <w:style w:type="paragraph" w:styleId="BodyTextIndent">
    <w:name w:val="Body Text Indent"/>
    <w:basedOn w:val="Normal"/>
    <w:rsid w:val="00D864E7"/>
    <w:pPr>
      <w:ind w:firstLine="720"/>
      <w:jc w:val="both"/>
    </w:pPr>
    <w:rPr>
      <w:rFonts w:ascii="Century Schoolbook" w:hAnsi="Century Schoolbook"/>
      <w:snapToGrid w:val="0"/>
      <w:szCs w:val="20"/>
    </w:rPr>
  </w:style>
  <w:style w:type="paragraph" w:styleId="Subtitle">
    <w:name w:val="Subtitle"/>
    <w:basedOn w:val="Normal"/>
    <w:link w:val="SubtitleChar"/>
    <w:qFormat/>
    <w:rsid w:val="00A63331"/>
    <w:pPr>
      <w:pBdr>
        <w:top w:val="single" w:sz="4" w:space="1" w:color="auto"/>
        <w:left w:val="single" w:sz="4" w:space="4" w:color="auto"/>
        <w:bottom w:val="single" w:sz="4" w:space="1" w:color="auto"/>
        <w:right w:val="single" w:sz="4" w:space="4" w:color="auto"/>
      </w:pBdr>
      <w:jc w:val="center"/>
    </w:pPr>
    <w:rPr>
      <w:rFonts w:ascii="Arial" w:hAnsi="Arial" w:cs="Arial"/>
      <w:sz w:val="36"/>
      <w:szCs w:val="36"/>
    </w:rPr>
  </w:style>
  <w:style w:type="character" w:customStyle="1" w:styleId="SubtitleChar">
    <w:name w:val="Subtitle Char"/>
    <w:basedOn w:val="DefaultParagraphFont"/>
    <w:link w:val="Subtitle"/>
    <w:rsid w:val="00A63331"/>
    <w:rPr>
      <w:rFonts w:ascii="Arial" w:hAnsi="Arial" w:cs="Arial"/>
      <w:sz w:val="36"/>
      <w:szCs w:val="36"/>
    </w:rPr>
  </w:style>
  <w:style w:type="paragraph" w:styleId="NoSpacing">
    <w:name w:val="No Spacing"/>
    <w:uiPriority w:val="1"/>
    <w:qFormat/>
    <w:rsid w:val="00F2314F"/>
    <w:rPr>
      <w:rFonts w:asciiTheme="minorHAnsi" w:eastAsiaTheme="minorHAnsi" w:hAnsiTheme="minorHAnsi" w:cstheme="minorBidi"/>
      <w:sz w:val="22"/>
      <w:szCs w:val="22"/>
    </w:rPr>
  </w:style>
  <w:style w:type="character" w:styleId="IntenseReference">
    <w:name w:val="Intense Reference"/>
    <w:uiPriority w:val="32"/>
    <w:qFormat/>
    <w:rsid w:val="00707FA4"/>
    <w:rPr>
      <w:smallCaps/>
      <w:spacing w:val="5"/>
      <w:u w:val="single"/>
    </w:rPr>
  </w:style>
  <w:style w:type="paragraph" w:styleId="ListParagraph">
    <w:name w:val="List Paragraph"/>
    <w:basedOn w:val="Normal"/>
    <w:uiPriority w:val="34"/>
    <w:qFormat/>
    <w:rsid w:val="00707FA4"/>
    <w:pPr>
      <w:spacing w:after="200" w:line="276" w:lineRule="auto"/>
      <w:ind w:left="720"/>
      <w:contextualSpacing/>
    </w:pPr>
    <w:rPr>
      <w:rFonts w:asciiTheme="minorHAnsi" w:eastAsiaTheme="minorHAnsi" w:hAnsiTheme="minorHAnsi" w:cstheme="minorBidi"/>
      <w:sz w:val="22"/>
      <w:szCs w:val="22"/>
    </w:rPr>
  </w:style>
  <w:style w:type="paragraph" w:styleId="CommentText">
    <w:name w:val="annotation text"/>
    <w:basedOn w:val="Normal"/>
    <w:link w:val="CommentTextChar"/>
    <w:uiPriority w:val="99"/>
    <w:unhideWhenUsed/>
    <w:rsid w:val="004542E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542E9"/>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http://www.wtamu.edu/news/guide/art/downloadable/tag.jp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http://www.wtamu.edu/news/guide/art/downloadable/hort.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15D7-BB5A-4879-B73F-3299E1A9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2332</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February 18, 2008</vt:lpstr>
    </vt:vector>
  </TitlesOfParts>
  <Company>West Texas A&amp;M Univ.</Company>
  <LinksUpToDate>false</LinksUpToDate>
  <CharactersWithSpaces>2742</CharactersWithSpaces>
  <SharedDoc>false</SharedDoc>
  <HLinks>
    <vt:vector size="12" baseType="variant">
      <vt:variant>
        <vt:i4>4456457</vt:i4>
      </vt:variant>
      <vt:variant>
        <vt:i4>-1</vt:i4>
      </vt:variant>
      <vt:variant>
        <vt:i4>2049</vt:i4>
      </vt:variant>
      <vt:variant>
        <vt:i4>1</vt:i4>
      </vt:variant>
      <vt:variant>
        <vt:lpwstr>http://www.wtamu.edu/news/guide/art/downloadable/hort.jpg</vt:lpwstr>
      </vt:variant>
      <vt:variant>
        <vt:lpwstr/>
      </vt:variant>
      <vt:variant>
        <vt:i4>1966151</vt:i4>
      </vt:variant>
      <vt:variant>
        <vt:i4>-1</vt:i4>
      </vt:variant>
      <vt:variant>
        <vt:i4>2050</vt:i4>
      </vt:variant>
      <vt:variant>
        <vt:i4>1</vt:i4>
      </vt:variant>
      <vt:variant>
        <vt:lpwstr>http://www.wtamu.edu/news/guide/art/downloadable/tag.jpg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18, 2008</dc:title>
  <dc:creator>Dan D Garcia</dc:creator>
  <cp:lastModifiedBy>kjd</cp:lastModifiedBy>
  <cp:revision>2</cp:revision>
  <cp:lastPrinted>2012-09-10T16:19:00Z</cp:lastPrinted>
  <dcterms:created xsi:type="dcterms:W3CDTF">2020-03-10T21:33:00Z</dcterms:created>
  <dcterms:modified xsi:type="dcterms:W3CDTF">2020-03-10T21:33:00Z</dcterms:modified>
</cp:coreProperties>
</file>